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F6" w:rsidRPr="005B37F6" w:rsidRDefault="005B37F6" w:rsidP="00DB35C6">
      <w:pPr>
        <w:jc w:val="center"/>
        <w:rPr>
          <w:b/>
          <w:sz w:val="22"/>
          <w:szCs w:val="22"/>
        </w:rPr>
      </w:pPr>
      <w:r w:rsidRPr="005B37F6">
        <w:rPr>
          <w:b/>
          <w:sz w:val="22"/>
          <w:szCs w:val="22"/>
        </w:rPr>
        <w:t>ТЕХНИЧЕСКОЕ ЗАДАНИЕ (далее – ТЗ)</w:t>
      </w:r>
    </w:p>
    <w:p w:rsidR="005B37F6" w:rsidRPr="005B37F6" w:rsidRDefault="005B37F6" w:rsidP="00DB35C6">
      <w:pPr>
        <w:jc w:val="center"/>
        <w:rPr>
          <w:b/>
          <w:sz w:val="22"/>
          <w:szCs w:val="22"/>
        </w:rPr>
      </w:pPr>
    </w:p>
    <w:p w:rsidR="00A368F1" w:rsidRPr="0016271A" w:rsidRDefault="00A368F1" w:rsidP="00A368F1">
      <w:pPr>
        <w:ind w:left="540"/>
        <w:jc w:val="both"/>
        <w:rPr>
          <w:sz w:val="22"/>
          <w:szCs w:val="22"/>
        </w:rPr>
      </w:pPr>
      <w:r w:rsidRPr="0016271A">
        <w:rPr>
          <w:b/>
          <w:sz w:val="22"/>
          <w:szCs w:val="22"/>
        </w:rPr>
        <w:t>Сроки и порядок оплаты</w:t>
      </w:r>
      <w:r w:rsidRPr="0016271A">
        <w:rPr>
          <w:sz w:val="22"/>
          <w:szCs w:val="22"/>
        </w:rPr>
        <w:t xml:space="preserve">: </w:t>
      </w:r>
      <w:r w:rsidR="00A6727F" w:rsidRPr="0013263D">
        <w:t xml:space="preserve">в течение 15 </w:t>
      </w:r>
      <w:r w:rsidR="00A6727F">
        <w:t>ка</w:t>
      </w:r>
      <w:r w:rsidR="00A6727F" w:rsidRPr="0013263D">
        <w:t xml:space="preserve">лендарных дней со дня подписания </w:t>
      </w:r>
      <w:r w:rsidR="00A6727F">
        <w:t>акта приемки Товара в эксплуатацию</w:t>
      </w:r>
    </w:p>
    <w:p w:rsidR="00A368F1" w:rsidRPr="0016271A" w:rsidRDefault="00A368F1" w:rsidP="00A368F1">
      <w:pPr>
        <w:pStyle w:val="ConsPlusNormal"/>
        <w:widowControl/>
        <w:tabs>
          <w:tab w:val="left" w:pos="360"/>
        </w:tabs>
        <w:ind w:left="54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271A">
        <w:rPr>
          <w:rFonts w:ascii="Times New Roman" w:hAnsi="Times New Roman" w:cs="Times New Roman"/>
          <w:b/>
          <w:bCs/>
          <w:sz w:val="22"/>
          <w:szCs w:val="22"/>
        </w:rPr>
        <w:t>Место и условия доставки товаров</w:t>
      </w:r>
      <w:r w:rsidRPr="0016271A"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г. Псков, ул. Старотекстильная, д. 32.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 Доставка производится за счет Поставщика.</w:t>
      </w:r>
      <w:r w:rsidR="00403893" w:rsidRPr="00403893">
        <w:rPr>
          <w:rFonts w:ascii="Times New Roman" w:hAnsi="Times New Roman"/>
          <w:sz w:val="24"/>
          <w:szCs w:val="24"/>
        </w:rPr>
        <w:t xml:space="preserve"> </w:t>
      </w:r>
      <w:r w:rsidR="00403893" w:rsidRPr="0013263D">
        <w:rPr>
          <w:rFonts w:ascii="Times New Roman" w:hAnsi="Times New Roman"/>
          <w:sz w:val="24"/>
          <w:szCs w:val="24"/>
        </w:rPr>
        <w:t>Адрес поставки может быть изменен в пределах муниципального образования г.</w:t>
      </w:r>
      <w:r w:rsidR="00403893">
        <w:rPr>
          <w:rFonts w:ascii="Times New Roman" w:hAnsi="Times New Roman"/>
          <w:sz w:val="24"/>
          <w:szCs w:val="24"/>
        </w:rPr>
        <w:t xml:space="preserve"> </w:t>
      </w:r>
      <w:r w:rsidR="00403893" w:rsidRPr="0013263D">
        <w:rPr>
          <w:rFonts w:ascii="Times New Roman" w:hAnsi="Times New Roman"/>
          <w:sz w:val="24"/>
          <w:szCs w:val="24"/>
        </w:rPr>
        <w:t>Псков</w:t>
      </w:r>
      <w:r w:rsidR="0040389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368F1" w:rsidRPr="0016271A" w:rsidRDefault="00A368F1" w:rsidP="00A368F1">
      <w:pPr>
        <w:pStyle w:val="ConsPlusNormal"/>
        <w:widowControl/>
        <w:tabs>
          <w:tab w:val="left" w:pos="360"/>
        </w:tabs>
        <w:ind w:left="54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271A">
        <w:rPr>
          <w:rFonts w:ascii="Times New Roman" w:hAnsi="Times New Roman" w:cs="Times New Roman"/>
          <w:b/>
          <w:bCs/>
          <w:sz w:val="22"/>
          <w:szCs w:val="22"/>
        </w:rPr>
        <w:t xml:space="preserve">Срок (период) поставки товаров: 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Pr="0016271A">
        <w:rPr>
          <w:rFonts w:ascii="Times New Roman" w:hAnsi="Times New Roman" w:cs="Times New Roman"/>
          <w:bCs/>
          <w:sz w:val="22"/>
          <w:szCs w:val="22"/>
        </w:rPr>
        <w:t>0 календарных дней с момента заключения договора.</w:t>
      </w:r>
    </w:p>
    <w:p w:rsidR="005B37F6" w:rsidRPr="005B37F6" w:rsidRDefault="00A368F1" w:rsidP="00A368F1">
      <w:pPr>
        <w:pStyle w:val="ConsPlusNormal"/>
        <w:widowControl/>
        <w:tabs>
          <w:tab w:val="left" w:pos="360"/>
        </w:tabs>
        <w:ind w:left="54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271A">
        <w:rPr>
          <w:rFonts w:ascii="Times New Roman" w:hAnsi="Times New Roman" w:cs="Times New Roman"/>
          <w:b/>
          <w:bCs/>
          <w:sz w:val="22"/>
          <w:szCs w:val="22"/>
        </w:rPr>
        <w:t xml:space="preserve">Гарантия: </w:t>
      </w:r>
      <w:r w:rsidRPr="0016271A">
        <w:rPr>
          <w:rFonts w:ascii="Times New Roman" w:hAnsi="Times New Roman" w:cs="Times New Roman"/>
          <w:bCs/>
          <w:sz w:val="22"/>
          <w:szCs w:val="22"/>
        </w:rPr>
        <w:t>не менее 3 лет с момента поставки.</w:t>
      </w:r>
    </w:p>
    <w:p w:rsidR="005B37F6" w:rsidRPr="005B37F6" w:rsidRDefault="005B37F6" w:rsidP="00DB35C6">
      <w:pPr>
        <w:jc w:val="both"/>
        <w:rPr>
          <w:bCs/>
          <w:sz w:val="22"/>
          <w:szCs w:val="22"/>
        </w:rPr>
      </w:pPr>
    </w:p>
    <w:p w:rsidR="005B37F6" w:rsidRPr="005B37F6" w:rsidRDefault="005B37F6" w:rsidP="00DB35C6">
      <w:pPr>
        <w:jc w:val="center"/>
        <w:rPr>
          <w:b/>
        </w:rPr>
      </w:pPr>
      <w:r w:rsidRPr="005B37F6">
        <w:rPr>
          <w:b/>
        </w:rPr>
        <w:t>1. Технические характеристики объекта закупки</w:t>
      </w:r>
    </w:p>
    <w:p w:rsidR="005B37F6" w:rsidRPr="005B37F6" w:rsidRDefault="005B37F6" w:rsidP="005B37F6">
      <w:pPr>
        <w:ind w:left="540"/>
        <w:rPr>
          <w:b/>
          <w:bCs/>
          <w:sz w:val="22"/>
          <w:szCs w:val="22"/>
        </w:rPr>
      </w:pPr>
      <w:r w:rsidRPr="005B37F6">
        <w:rPr>
          <w:b/>
          <w:bCs/>
          <w:sz w:val="22"/>
          <w:szCs w:val="22"/>
        </w:rPr>
        <w:t>Сервер в сборе (далее – Товар) – 1 шт.</w:t>
      </w:r>
    </w:p>
    <w:tbl>
      <w:tblPr>
        <w:tblW w:w="14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5220"/>
        <w:gridCol w:w="7740"/>
      </w:tblGrid>
      <w:tr w:rsidR="005B37F6" w:rsidRPr="005B37F6" w:rsidTr="00B20B58">
        <w:trPr>
          <w:tblHeader/>
        </w:trPr>
        <w:tc>
          <w:tcPr>
            <w:tcW w:w="72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5B37F6" w:rsidRDefault="000A5140" w:rsidP="00B20B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B37F6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5B37F6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5B37F6" w:rsidRDefault="000A5140" w:rsidP="00B20B58">
            <w:pPr>
              <w:contextualSpacing/>
              <w:jc w:val="center"/>
              <w:rPr>
                <w:sz w:val="18"/>
                <w:szCs w:val="18"/>
              </w:rPr>
            </w:pPr>
            <w:r w:rsidRPr="005B37F6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B37F6">
              <w:rPr>
                <w:b/>
                <w:sz w:val="18"/>
                <w:szCs w:val="18"/>
              </w:rPr>
              <w:t>Наименование требуемого параметра</w:t>
            </w:r>
          </w:p>
        </w:tc>
        <w:tc>
          <w:tcPr>
            <w:tcW w:w="774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B37F6">
              <w:rPr>
                <w:b/>
                <w:sz w:val="18"/>
                <w:szCs w:val="18"/>
              </w:rPr>
              <w:t>Требуемое значение</w:t>
            </w:r>
          </w:p>
        </w:tc>
      </w:tr>
      <w:tr w:rsidR="005B37F6" w:rsidRPr="005B37F6" w:rsidTr="00B20B58">
        <w:trPr>
          <w:trHeight w:val="211"/>
        </w:trPr>
        <w:tc>
          <w:tcPr>
            <w:tcW w:w="720" w:type="dxa"/>
            <w:vMerge w:val="restart"/>
            <w:tcBorders>
              <w:top w:val="single" w:sz="24" w:space="0" w:color="auto"/>
            </w:tcBorders>
          </w:tcPr>
          <w:p w:rsidR="000A5140" w:rsidRPr="005B37F6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A5140" w:rsidRPr="005B37F6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0A5140" w:rsidRPr="005B37F6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A5140" w:rsidRPr="005B37F6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 xml:space="preserve">Сервер в сборе </w:t>
            </w:r>
          </w:p>
          <w:p w:rsidR="000A5140" w:rsidRPr="005B37F6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24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ind w:left="34" w:hanging="34"/>
              <w:contextualSpacing/>
              <w:jc w:val="center"/>
              <w:rPr>
                <w:bCs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Корпус: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Тип корпуса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Для установки в стойку. Высота не более 2</w:t>
            </w:r>
            <w:r w:rsidRPr="005B37F6">
              <w:rPr>
                <w:sz w:val="22"/>
                <w:szCs w:val="22"/>
                <w:lang w:val="en-US"/>
              </w:rPr>
              <w:t>U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Комплект для монтажа сервера в стойку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Должен присутствовать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Разъёмы </w:t>
            </w:r>
            <w:r w:rsidRPr="005B37F6">
              <w:rPr>
                <w:sz w:val="22"/>
                <w:szCs w:val="22"/>
                <w:lang w:val="en-US"/>
              </w:rPr>
              <w:t>USB</w:t>
            </w:r>
            <w:r w:rsidRPr="005B37F6">
              <w:rPr>
                <w:sz w:val="22"/>
                <w:szCs w:val="22"/>
              </w:rPr>
              <w:t xml:space="preserve"> 3.0 на передней панели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Наличие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Разъёмы </w:t>
            </w:r>
            <w:r w:rsidRPr="005B37F6">
              <w:rPr>
                <w:sz w:val="22"/>
                <w:szCs w:val="22"/>
                <w:lang w:val="en-US"/>
              </w:rPr>
              <w:t>USB</w:t>
            </w:r>
            <w:r w:rsidRPr="005B37F6">
              <w:rPr>
                <w:sz w:val="22"/>
                <w:szCs w:val="22"/>
              </w:rPr>
              <w:t xml:space="preserve"> 3.0 на задней панели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двух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  <w:lang w:val="en-US"/>
              </w:rPr>
            </w:pPr>
            <w:r w:rsidRPr="005B37F6">
              <w:rPr>
                <w:sz w:val="22"/>
                <w:szCs w:val="22"/>
              </w:rPr>
              <w:t xml:space="preserve">Внутренний разъём </w:t>
            </w:r>
            <w:r w:rsidRPr="005B37F6">
              <w:rPr>
                <w:sz w:val="22"/>
                <w:szCs w:val="22"/>
                <w:lang w:val="en-US"/>
              </w:rPr>
              <w:t>USB 3.0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Наличие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Разъём </w:t>
            </w:r>
            <w:r w:rsidRPr="005B37F6">
              <w:rPr>
                <w:sz w:val="22"/>
                <w:szCs w:val="22"/>
                <w:lang w:val="en-US"/>
              </w:rPr>
              <w:t>VGA</w:t>
            </w:r>
            <w:r w:rsidRPr="005B37F6">
              <w:rPr>
                <w:sz w:val="22"/>
                <w:szCs w:val="22"/>
              </w:rPr>
              <w:t xml:space="preserve"> на задней панели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Наличие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ind w:left="34" w:hanging="3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37F6">
              <w:rPr>
                <w:b/>
                <w:bCs/>
                <w:sz w:val="22"/>
                <w:szCs w:val="22"/>
              </w:rPr>
              <w:t>Процессор: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Количество установленных процессоров</w:t>
            </w:r>
          </w:p>
        </w:tc>
        <w:tc>
          <w:tcPr>
            <w:tcW w:w="7740" w:type="dxa"/>
          </w:tcPr>
          <w:p w:rsidR="000A5140" w:rsidRPr="005B37F6" w:rsidRDefault="002A5C64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Минимум один</w:t>
            </w:r>
          </w:p>
        </w:tc>
      </w:tr>
      <w:tr w:rsidR="00EC6C8B" w:rsidRPr="005B37F6" w:rsidTr="00B20B58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Количество ядер каждого процессора</w:t>
            </w:r>
          </w:p>
        </w:tc>
        <w:tc>
          <w:tcPr>
            <w:tcW w:w="7740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10</w:t>
            </w:r>
          </w:p>
        </w:tc>
      </w:tr>
      <w:tr w:rsidR="00EC6C8B" w:rsidRPr="005B37F6" w:rsidTr="00B20B58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Количество потоков каждого  процессора</w:t>
            </w:r>
          </w:p>
        </w:tc>
        <w:tc>
          <w:tcPr>
            <w:tcW w:w="7740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20</w:t>
            </w:r>
          </w:p>
        </w:tc>
      </w:tr>
      <w:tr w:rsidR="00EC6C8B" w:rsidRPr="005B37F6" w:rsidTr="00B20B58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7740" w:type="dxa"/>
          </w:tcPr>
          <w:p w:rsidR="00EC6C8B" w:rsidRPr="0016271A" w:rsidRDefault="00EC6C8B" w:rsidP="006C2CF0">
            <w:pPr>
              <w:ind w:left="34" w:hanging="34"/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двух тысяч двухсот мегагерц</w:t>
            </w:r>
          </w:p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трёх тысяч</w:t>
            </w:r>
            <w:r>
              <w:rPr>
                <w:sz w:val="22"/>
                <w:szCs w:val="22"/>
              </w:rPr>
              <w:t xml:space="preserve"> двухсот</w:t>
            </w:r>
            <w:r w:rsidRPr="0016271A">
              <w:rPr>
                <w:sz w:val="22"/>
                <w:szCs w:val="22"/>
              </w:rPr>
              <w:t xml:space="preserve"> мегагерц в режиме «турбо»</w:t>
            </w:r>
          </w:p>
        </w:tc>
      </w:tr>
      <w:tr w:rsidR="00EC6C8B" w:rsidRPr="005B37F6" w:rsidTr="00B20B58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Кэш 3-го уровня одного процессора</w:t>
            </w:r>
          </w:p>
        </w:tc>
        <w:tc>
          <w:tcPr>
            <w:tcW w:w="7740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C85969">
              <w:rPr>
                <w:sz w:val="22"/>
                <w:szCs w:val="22"/>
              </w:rPr>
              <w:t>13.75</w:t>
            </w:r>
            <w:r w:rsidRPr="0016271A">
              <w:rPr>
                <w:sz w:val="22"/>
                <w:szCs w:val="22"/>
              </w:rPr>
              <w:t xml:space="preserve"> МБ</w:t>
            </w:r>
          </w:p>
        </w:tc>
      </w:tr>
      <w:tr w:rsidR="00EC6C8B" w:rsidRPr="005B37F6" w:rsidTr="00B20B58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Тепловыделение одного процессора</w:t>
            </w:r>
          </w:p>
        </w:tc>
        <w:tc>
          <w:tcPr>
            <w:tcW w:w="7740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85</w:t>
            </w:r>
            <w:r w:rsidRPr="0016271A">
              <w:rPr>
                <w:sz w:val="22"/>
                <w:szCs w:val="22"/>
              </w:rPr>
              <w:t xml:space="preserve"> Вт</w:t>
            </w:r>
          </w:p>
        </w:tc>
      </w:tr>
      <w:tr w:rsidR="00EC6C8B" w:rsidRPr="005B37F6" w:rsidTr="00B20B58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Число каналов памяти</w:t>
            </w:r>
          </w:p>
        </w:tc>
        <w:tc>
          <w:tcPr>
            <w:tcW w:w="7740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шести</w:t>
            </w:r>
          </w:p>
        </w:tc>
      </w:tr>
      <w:tr w:rsidR="00EC6C8B" w:rsidRPr="005B37F6" w:rsidTr="00B20B58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Поддержка тип памяти</w:t>
            </w:r>
          </w:p>
        </w:tc>
        <w:tc>
          <w:tcPr>
            <w:tcW w:w="7740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DDR4-2400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ind w:left="34" w:hanging="34"/>
              <w:contextualSpacing/>
              <w:jc w:val="center"/>
              <w:rPr>
                <w:bCs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Память: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Тип памяти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  <w:lang w:val="en-US"/>
              </w:rPr>
              <w:t>DDR4 DIMM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n-US"/>
              </w:rPr>
              <w:t>ECC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Частота памяти</w:t>
            </w:r>
          </w:p>
        </w:tc>
        <w:tc>
          <w:tcPr>
            <w:tcW w:w="7740" w:type="dxa"/>
          </w:tcPr>
          <w:p w:rsidR="000A5140" w:rsidRPr="00EC6C8B" w:rsidRDefault="00EC6C8B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EC6C8B">
              <w:rPr>
                <w:sz w:val="22"/>
                <w:szCs w:val="22"/>
              </w:rPr>
              <w:t>Не ниже 2933 МГц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Объём памяти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256 Гб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Объём каждого модуля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32 Гб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Количество </w:t>
            </w:r>
            <w:r w:rsidRPr="005B37F6">
              <w:rPr>
                <w:sz w:val="22"/>
                <w:szCs w:val="22"/>
                <w:lang w:val="en-US"/>
              </w:rPr>
              <w:t>DIMM</w:t>
            </w:r>
            <w:r w:rsidRPr="005B37F6">
              <w:rPr>
                <w:sz w:val="22"/>
                <w:szCs w:val="22"/>
              </w:rPr>
              <w:t>-слотов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24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Максимально возможный объём памяти, поддерживаемый сервером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3 ТБ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Хранение информации</w:t>
            </w:r>
          </w:p>
        </w:tc>
      </w:tr>
      <w:tr w:rsidR="005B37F6" w:rsidRPr="00403893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Тип поддерживаемых дисков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  <w:lang w:val="es-ES"/>
              </w:rPr>
            </w:pPr>
            <w:r w:rsidRPr="005B37F6">
              <w:rPr>
                <w:sz w:val="22"/>
                <w:szCs w:val="22"/>
                <w:lang w:val="es-ES"/>
              </w:rPr>
              <w:t>Hot plug SFF 2.5" SAS/SATA/NVMe HDD/SSD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Максимально возможное количество накопителей в сервере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sz w:val="22"/>
                <w:szCs w:val="22"/>
              </w:rPr>
              <w:t>Не менее двадцати четырех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Тип и количество установленных накопителей 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Не менее </w:t>
            </w:r>
            <w:r w:rsidR="00773ABC">
              <w:rPr>
                <w:sz w:val="22"/>
                <w:szCs w:val="22"/>
              </w:rPr>
              <w:t>шести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n-US"/>
              </w:rPr>
              <w:t>SSD</w:t>
            </w:r>
            <w:r w:rsidRPr="005B37F6">
              <w:rPr>
                <w:sz w:val="22"/>
                <w:szCs w:val="22"/>
              </w:rPr>
              <w:t xml:space="preserve">-накопителей типа </w:t>
            </w:r>
            <w:r w:rsidRPr="005B37F6">
              <w:rPr>
                <w:sz w:val="22"/>
                <w:szCs w:val="22"/>
                <w:lang w:val="en-US"/>
              </w:rPr>
              <w:t>SFF</w:t>
            </w:r>
            <w:r w:rsidRPr="005B37F6">
              <w:rPr>
                <w:sz w:val="22"/>
                <w:szCs w:val="22"/>
              </w:rPr>
              <w:t xml:space="preserve"> 2.5" </w:t>
            </w:r>
            <w:r w:rsidRPr="005B37F6">
              <w:rPr>
                <w:sz w:val="22"/>
                <w:szCs w:val="22"/>
                <w:lang w:val="en-US"/>
              </w:rPr>
              <w:t>S</w:t>
            </w:r>
            <w:r w:rsidR="002A5C64" w:rsidRPr="005B37F6">
              <w:rPr>
                <w:sz w:val="22"/>
                <w:szCs w:val="22"/>
                <w:lang w:val="en-US"/>
              </w:rPr>
              <w:t>AS</w:t>
            </w:r>
            <w:r w:rsidRPr="005B37F6">
              <w:rPr>
                <w:sz w:val="22"/>
                <w:szCs w:val="22"/>
              </w:rPr>
              <w:t xml:space="preserve"> </w:t>
            </w:r>
            <w:r w:rsidR="002A5C64" w:rsidRPr="005B37F6">
              <w:rPr>
                <w:sz w:val="22"/>
                <w:szCs w:val="22"/>
              </w:rPr>
              <w:t>12</w:t>
            </w:r>
            <w:r w:rsidRPr="005B37F6">
              <w:rPr>
                <w:sz w:val="22"/>
                <w:szCs w:val="22"/>
                <w:lang w:val="en-US"/>
              </w:rPr>
              <w:t>G</w:t>
            </w:r>
            <w:r w:rsidRPr="005B37F6">
              <w:rPr>
                <w:sz w:val="22"/>
                <w:szCs w:val="22"/>
              </w:rPr>
              <w:t xml:space="preserve"> объёмом не менее </w:t>
            </w:r>
            <w:r w:rsidR="002A5C64" w:rsidRPr="005B37F6">
              <w:rPr>
                <w:sz w:val="22"/>
                <w:szCs w:val="22"/>
              </w:rPr>
              <w:lastRenderedPageBreak/>
              <w:t>40</w:t>
            </w:r>
            <w:r w:rsidRPr="005B37F6">
              <w:rPr>
                <w:sz w:val="22"/>
                <w:szCs w:val="22"/>
              </w:rPr>
              <w:t>0 ГБ каждый,  с поддержкой горячей замены;</w:t>
            </w:r>
          </w:p>
          <w:p w:rsidR="000A5140" w:rsidRPr="005B37F6" w:rsidRDefault="000A5140" w:rsidP="00773ABC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Не менее </w:t>
            </w:r>
            <w:r w:rsidR="00773ABC">
              <w:rPr>
                <w:sz w:val="22"/>
                <w:szCs w:val="22"/>
              </w:rPr>
              <w:t>шести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n-US"/>
              </w:rPr>
              <w:t>HDD</w:t>
            </w:r>
            <w:r w:rsidRPr="005B37F6">
              <w:rPr>
                <w:sz w:val="22"/>
                <w:szCs w:val="22"/>
              </w:rPr>
              <w:t xml:space="preserve">-накопителей типа </w:t>
            </w:r>
            <w:r w:rsidRPr="005B37F6">
              <w:rPr>
                <w:sz w:val="22"/>
                <w:szCs w:val="22"/>
                <w:lang w:val="en-US"/>
              </w:rPr>
              <w:t>SFF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s-ES"/>
              </w:rPr>
              <w:t>2.5"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n-US"/>
              </w:rPr>
              <w:t>SAS</w:t>
            </w:r>
            <w:r w:rsidRPr="005B37F6">
              <w:rPr>
                <w:sz w:val="22"/>
                <w:szCs w:val="22"/>
              </w:rPr>
              <w:t xml:space="preserve"> 12</w:t>
            </w:r>
            <w:r w:rsidRPr="005B37F6">
              <w:rPr>
                <w:sz w:val="22"/>
                <w:szCs w:val="22"/>
                <w:lang w:val="en-US"/>
              </w:rPr>
              <w:t>G</w:t>
            </w:r>
            <w:r w:rsidRPr="005B37F6">
              <w:rPr>
                <w:sz w:val="22"/>
                <w:szCs w:val="22"/>
              </w:rPr>
              <w:t xml:space="preserve"> объёмом не менее 1800 ГБ каждый,  с поддержкой горячей замены;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37F6">
              <w:rPr>
                <w:b/>
                <w:bCs/>
                <w:sz w:val="22"/>
                <w:szCs w:val="22"/>
                <w:lang w:val="en-US"/>
              </w:rPr>
              <w:t>RAID-</w:t>
            </w:r>
            <w:r w:rsidRPr="005B37F6">
              <w:rPr>
                <w:b/>
                <w:bCs/>
                <w:sz w:val="22"/>
                <w:szCs w:val="22"/>
              </w:rPr>
              <w:t>контроллер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Возможности </w:t>
            </w:r>
            <w:r w:rsidRPr="005B37F6">
              <w:rPr>
                <w:sz w:val="22"/>
                <w:szCs w:val="22"/>
                <w:lang w:val="en-US"/>
              </w:rPr>
              <w:t>RAID</w:t>
            </w:r>
            <w:r w:rsidRPr="005B37F6">
              <w:rPr>
                <w:sz w:val="22"/>
                <w:szCs w:val="22"/>
              </w:rPr>
              <w:t>-контроллера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0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1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1+0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5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5+0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6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6+0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Пропускная способность </w:t>
            </w:r>
            <w:r w:rsidRPr="005B37F6">
              <w:rPr>
                <w:sz w:val="22"/>
                <w:szCs w:val="22"/>
                <w:lang w:val="en-US"/>
              </w:rPr>
              <w:t>RAID-</w:t>
            </w:r>
            <w:r w:rsidRPr="005B37F6">
              <w:rPr>
                <w:sz w:val="22"/>
                <w:szCs w:val="22"/>
              </w:rPr>
              <w:t>контроллера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12 Гбит/</w:t>
            </w:r>
            <w:proofErr w:type="gramStart"/>
            <w:r w:rsidRPr="005B37F6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Объём памяти </w:t>
            </w:r>
            <w:r w:rsidRPr="005B37F6">
              <w:rPr>
                <w:sz w:val="22"/>
                <w:szCs w:val="22"/>
                <w:lang w:val="en-US"/>
              </w:rPr>
              <w:t>RAID-</w:t>
            </w:r>
            <w:r w:rsidRPr="005B37F6">
              <w:rPr>
                <w:sz w:val="22"/>
                <w:szCs w:val="22"/>
              </w:rPr>
              <w:t>контроллера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Не менее </w:t>
            </w:r>
            <w:r w:rsidR="00773ABC">
              <w:rPr>
                <w:sz w:val="22"/>
                <w:szCs w:val="22"/>
              </w:rPr>
              <w:t>4</w:t>
            </w:r>
            <w:r w:rsidRPr="005B37F6">
              <w:rPr>
                <w:sz w:val="22"/>
                <w:szCs w:val="22"/>
              </w:rPr>
              <w:t xml:space="preserve"> Гб</w:t>
            </w:r>
          </w:p>
        </w:tc>
      </w:tr>
      <w:tr w:rsidR="00773ABC" w:rsidRPr="005B37F6" w:rsidTr="00B20B58">
        <w:tc>
          <w:tcPr>
            <w:tcW w:w="720" w:type="dxa"/>
            <w:vMerge/>
          </w:tcPr>
          <w:p w:rsidR="00773ABC" w:rsidRPr="005B37F6" w:rsidRDefault="00773ABC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73ABC" w:rsidRPr="005B37F6" w:rsidRDefault="00773ABC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73ABC" w:rsidRPr="00C85969" w:rsidRDefault="00773ABC" w:rsidP="006C2CF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Аккумуляторная батарея </w:t>
            </w:r>
            <w:r>
              <w:rPr>
                <w:sz w:val="22"/>
                <w:szCs w:val="22"/>
                <w:lang w:val="en-US"/>
              </w:rPr>
              <w:t>RAID-</w:t>
            </w:r>
            <w:r>
              <w:rPr>
                <w:sz w:val="22"/>
                <w:szCs w:val="22"/>
              </w:rPr>
              <w:t>контроллера</w:t>
            </w:r>
          </w:p>
        </w:tc>
        <w:tc>
          <w:tcPr>
            <w:tcW w:w="7740" w:type="dxa"/>
          </w:tcPr>
          <w:p w:rsidR="00773ABC" w:rsidRPr="0016271A" w:rsidRDefault="00773ABC" w:rsidP="006C2CF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b/>
                <w:sz w:val="22"/>
                <w:szCs w:val="22"/>
              </w:rPr>
              <w:t>Интерфейсы: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Возможности встроенных сетевых интерфейсов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Интегрированный на системной плате модульный сетевой контроллер с не менее 4</w:t>
            </w:r>
            <w:r w:rsidRPr="005B37F6">
              <w:rPr>
                <w:sz w:val="22"/>
                <w:szCs w:val="22"/>
                <w:lang w:val="en-US"/>
              </w:rPr>
              <w:t>x</w:t>
            </w:r>
            <w:r w:rsidRPr="005B37F6">
              <w:rPr>
                <w:sz w:val="22"/>
                <w:szCs w:val="22"/>
              </w:rPr>
              <w:t xml:space="preserve">1 </w:t>
            </w:r>
            <w:proofErr w:type="spellStart"/>
            <w:r w:rsidRPr="005B37F6">
              <w:rPr>
                <w:sz w:val="22"/>
                <w:szCs w:val="22"/>
              </w:rPr>
              <w:t>GbE</w:t>
            </w:r>
            <w:proofErr w:type="spellEnd"/>
            <w:r w:rsidRPr="005B37F6">
              <w:rPr>
                <w:sz w:val="22"/>
                <w:szCs w:val="22"/>
              </w:rPr>
              <w:t xml:space="preserve"> сетевыми интерфейсами</w:t>
            </w:r>
          </w:p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Интегрированный на системной плате 1х1 </w:t>
            </w:r>
            <w:proofErr w:type="spellStart"/>
            <w:r w:rsidRPr="005B37F6">
              <w:rPr>
                <w:sz w:val="22"/>
                <w:szCs w:val="22"/>
                <w:lang w:val="en-US"/>
              </w:rPr>
              <w:t>GbE</w:t>
            </w:r>
            <w:proofErr w:type="spellEnd"/>
            <w:r w:rsidRPr="005B37F6">
              <w:rPr>
                <w:sz w:val="22"/>
                <w:szCs w:val="22"/>
              </w:rPr>
              <w:t xml:space="preserve"> порт для удаленного управления сервером.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Установленные сетевые интерфейсы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4</w:t>
            </w:r>
            <w:r w:rsidRPr="005B37F6">
              <w:rPr>
                <w:sz w:val="22"/>
                <w:szCs w:val="22"/>
                <w:lang w:val="en-US"/>
              </w:rPr>
              <w:t>x</w:t>
            </w:r>
            <w:r w:rsidRPr="005B37F6">
              <w:rPr>
                <w:sz w:val="22"/>
                <w:szCs w:val="22"/>
              </w:rPr>
              <w:t xml:space="preserve">1 </w:t>
            </w:r>
            <w:proofErr w:type="spellStart"/>
            <w:r w:rsidRPr="005B37F6">
              <w:rPr>
                <w:sz w:val="22"/>
                <w:szCs w:val="22"/>
              </w:rPr>
              <w:t>GbE</w:t>
            </w:r>
            <w:proofErr w:type="spellEnd"/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  <w:lang w:val="en-US"/>
              </w:rPr>
              <w:t xml:space="preserve">PCI-Express </w:t>
            </w:r>
            <w:r w:rsidRPr="005B37F6">
              <w:rPr>
                <w:sz w:val="22"/>
                <w:szCs w:val="22"/>
              </w:rPr>
              <w:t>слоты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трех слотов версии не ниже 3.0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b/>
                <w:sz w:val="22"/>
                <w:szCs w:val="22"/>
              </w:rPr>
              <w:t>Блок питания: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Количество блоков питания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sz w:val="22"/>
                <w:szCs w:val="22"/>
              </w:rPr>
              <w:t>Не менее двух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Мощность каждого блока питания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sz w:val="22"/>
                <w:szCs w:val="22"/>
              </w:rPr>
              <w:t>Не менее 800 Вт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КПД каждого блока питания</w:t>
            </w:r>
          </w:p>
        </w:tc>
        <w:tc>
          <w:tcPr>
            <w:tcW w:w="7740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sz w:val="22"/>
                <w:szCs w:val="22"/>
              </w:rPr>
              <w:t>Не менее 9</w:t>
            </w:r>
            <w:r w:rsidRPr="005B37F6">
              <w:rPr>
                <w:sz w:val="22"/>
                <w:szCs w:val="22"/>
                <w:lang w:val="en-US"/>
              </w:rPr>
              <w:t>4</w:t>
            </w:r>
            <w:r w:rsidRPr="005B37F6">
              <w:rPr>
                <w:sz w:val="22"/>
                <w:szCs w:val="22"/>
              </w:rPr>
              <w:t>%</w:t>
            </w:r>
          </w:p>
        </w:tc>
      </w:tr>
      <w:tr w:rsidR="00B33A39" w:rsidRPr="005B37F6" w:rsidTr="00B33A39">
        <w:tc>
          <w:tcPr>
            <w:tcW w:w="720" w:type="dxa"/>
            <w:vMerge/>
          </w:tcPr>
          <w:p w:rsidR="00B33A39" w:rsidRPr="005B37F6" w:rsidRDefault="00B33A39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B33A39" w:rsidRPr="005B37F6" w:rsidRDefault="00B33A39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0" w:type="dxa"/>
            <w:gridSpan w:val="2"/>
            <w:shd w:val="clear" w:color="auto" w:fill="BFBFBF" w:themeFill="background1" w:themeFillShade="BF"/>
          </w:tcPr>
          <w:p w:rsidR="00B33A39" w:rsidRPr="00C028C5" w:rsidRDefault="00B33A39" w:rsidP="005A0D0A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9E4DCF">
              <w:rPr>
                <w:b/>
                <w:sz w:val="22"/>
                <w:szCs w:val="22"/>
              </w:rPr>
              <w:t>Вентиляторы охлаждения:</w:t>
            </w:r>
          </w:p>
        </w:tc>
      </w:tr>
      <w:tr w:rsidR="00B33A39" w:rsidRPr="005B37F6" w:rsidTr="00B20B58">
        <w:tc>
          <w:tcPr>
            <w:tcW w:w="720" w:type="dxa"/>
            <w:vMerge/>
          </w:tcPr>
          <w:p w:rsidR="00B33A39" w:rsidRPr="005B37F6" w:rsidRDefault="00B33A39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B33A39" w:rsidRPr="005B37F6" w:rsidRDefault="00B33A39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B33A39" w:rsidRPr="00C028C5" w:rsidRDefault="00B33A39" w:rsidP="005A0D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E4DCF">
              <w:rPr>
                <w:sz w:val="22"/>
                <w:szCs w:val="22"/>
              </w:rPr>
              <w:t>оддержка резервирования по схеме N+1</w:t>
            </w:r>
          </w:p>
        </w:tc>
        <w:tc>
          <w:tcPr>
            <w:tcW w:w="7740" w:type="dxa"/>
          </w:tcPr>
          <w:p w:rsidR="00B33A39" w:rsidRPr="00C92865" w:rsidRDefault="00B33A39" w:rsidP="00F8499E">
            <w:r w:rsidRPr="00C92865">
              <w:t>Наличие</w:t>
            </w:r>
          </w:p>
        </w:tc>
      </w:tr>
      <w:tr w:rsidR="00B33A39" w:rsidRPr="005B37F6" w:rsidTr="00B20B58">
        <w:tc>
          <w:tcPr>
            <w:tcW w:w="720" w:type="dxa"/>
            <w:vMerge/>
          </w:tcPr>
          <w:p w:rsidR="00B33A39" w:rsidRPr="00B33A39" w:rsidRDefault="00B33A39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33A39" w:rsidRPr="00B33A39" w:rsidRDefault="00B33A39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B33A39" w:rsidRPr="00C028C5" w:rsidRDefault="00B33A39" w:rsidP="005A0D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вентиляторов в комплекте поставки</w:t>
            </w:r>
          </w:p>
        </w:tc>
        <w:tc>
          <w:tcPr>
            <w:tcW w:w="7740" w:type="dxa"/>
          </w:tcPr>
          <w:p w:rsidR="00B33A39" w:rsidRPr="00B33A39" w:rsidRDefault="00B33A39" w:rsidP="00F8499E">
            <w:pPr>
              <w:rPr>
                <w:lang w:val="en-US"/>
              </w:rPr>
            </w:pPr>
            <w:r>
              <w:t xml:space="preserve">Не менее </w:t>
            </w:r>
            <w:r>
              <w:rPr>
                <w:lang w:val="en-US"/>
              </w:rPr>
              <w:t>6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0A5140" w:rsidRPr="005B37F6" w:rsidRDefault="000A5140" w:rsidP="00B20B58">
            <w:pPr>
              <w:ind w:firstLine="20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b/>
                <w:sz w:val="22"/>
                <w:szCs w:val="22"/>
              </w:rPr>
              <w:t>Удалённое управление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0A5140" w:rsidRPr="005B37F6" w:rsidRDefault="000A5140" w:rsidP="00B20B58">
            <w:pPr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Модуль удалённого управления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0A5140" w:rsidRPr="005B37F6" w:rsidRDefault="000A5140" w:rsidP="00B20B58">
            <w:pPr>
              <w:ind w:firstLine="20"/>
              <w:jc w:val="both"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•</w:t>
            </w:r>
            <w:r w:rsidRPr="005B37F6">
              <w:rPr>
                <w:sz w:val="22"/>
                <w:szCs w:val="22"/>
              </w:rPr>
              <w:tab/>
              <w:t>Удаленное управление сервером должно осуществляться независимо от операционной системы, должно быть разработано производителем сервера (программная и аппаратная часть);</w:t>
            </w:r>
          </w:p>
          <w:p w:rsidR="000A5140" w:rsidRPr="005B37F6" w:rsidRDefault="000A5140" w:rsidP="00B20B58">
            <w:pPr>
              <w:ind w:firstLine="20"/>
              <w:jc w:val="both"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•</w:t>
            </w:r>
            <w:r w:rsidRPr="005B37F6">
              <w:rPr>
                <w:sz w:val="22"/>
                <w:szCs w:val="22"/>
              </w:rPr>
              <w:tab/>
              <w:t>обеспечение удалённой загрузки программного обеспечения с рабочего места администратора;</w:t>
            </w:r>
          </w:p>
          <w:p w:rsidR="000A5140" w:rsidRPr="005B37F6" w:rsidRDefault="000A5140" w:rsidP="00B20B58">
            <w:pPr>
              <w:ind w:firstLine="20"/>
              <w:jc w:val="both"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•</w:t>
            </w:r>
            <w:r w:rsidRPr="005B37F6">
              <w:rPr>
                <w:sz w:val="22"/>
                <w:szCs w:val="22"/>
              </w:rPr>
              <w:tab/>
              <w:t>возможность удаленной перезагрузки, а также включения и выключения сервера;</w:t>
            </w:r>
          </w:p>
          <w:p w:rsidR="000A5140" w:rsidRPr="00B33A39" w:rsidRDefault="000A5140" w:rsidP="00B20B58">
            <w:pPr>
              <w:ind w:firstLine="20"/>
              <w:jc w:val="both"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•</w:t>
            </w:r>
            <w:r w:rsidRPr="005B37F6">
              <w:rPr>
                <w:sz w:val="22"/>
                <w:szCs w:val="22"/>
              </w:rPr>
              <w:tab/>
              <w:t>независимый от операционный системы контроль с</w:t>
            </w:r>
            <w:r w:rsidR="00B33A39">
              <w:rPr>
                <w:sz w:val="22"/>
                <w:szCs w:val="22"/>
              </w:rPr>
              <w:t>остояния аппаратных компонентов</w:t>
            </w:r>
            <w:r w:rsidR="00B33A39" w:rsidRPr="00B33A39">
              <w:rPr>
                <w:sz w:val="22"/>
                <w:szCs w:val="22"/>
              </w:rPr>
              <w:t>;</w:t>
            </w:r>
          </w:p>
          <w:p w:rsidR="00B33A39" w:rsidRPr="00B33A39" w:rsidRDefault="00B33A39" w:rsidP="00B20B58">
            <w:pPr>
              <w:ind w:firstLine="20"/>
              <w:jc w:val="both"/>
              <w:rPr>
                <w:sz w:val="22"/>
                <w:szCs w:val="22"/>
              </w:rPr>
            </w:pPr>
            <w:r w:rsidRPr="00C028C5">
              <w:rPr>
                <w:sz w:val="22"/>
                <w:szCs w:val="22"/>
              </w:rPr>
              <w:t>•</w:t>
            </w:r>
            <w:r w:rsidRPr="00C028C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независимая индикация неисправности для каждого накопителя</w:t>
            </w:r>
            <w:r w:rsidRPr="009E4DCF">
              <w:rPr>
                <w:sz w:val="22"/>
                <w:szCs w:val="22"/>
              </w:rPr>
              <w:t>.</w:t>
            </w:r>
          </w:p>
        </w:tc>
      </w:tr>
      <w:tr w:rsidR="005B37F6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0A5140" w:rsidRPr="005B37F6" w:rsidRDefault="000A5140" w:rsidP="00B20B58">
            <w:pPr>
              <w:ind w:firstLine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Гарантия:</w:t>
            </w:r>
          </w:p>
        </w:tc>
      </w:tr>
      <w:tr w:rsidR="000A5140" w:rsidRPr="005B37F6" w:rsidTr="00B20B58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b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Гарантия</w:t>
            </w:r>
          </w:p>
        </w:tc>
        <w:tc>
          <w:tcPr>
            <w:tcW w:w="7740" w:type="dxa"/>
          </w:tcPr>
          <w:p w:rsidR="000A5140" w:rsidRPr="005B37F6" w:rsidRDefault="005B37F6" w:rsidP="00B20B58">
            <w:pPr>
              <w:ind w:firstLine="20"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В течение не менее трех лет с момента поставки Товара с бесплатным выездом инженера на место эксплуатации, режим обслуживания 9х5 с началом восстановительных работ не позднее, чем на следующий рабочий день после поступления запроса.</w:t>
            </w:r>
          </w:p>
        </w:tc>
      </w:tr>
    </w:tbl>
    <w:p w:rsidR="000A5140" w:rsidRPr="005B37F6" w:rsidRDefault="000A5140" w:rsidP="000A5140">
      <w:pPr>
        <w:jc w:val="both"/>
        <w:rPr>
          <w:bCs/>
          <w:sz w:val="22"/>
          <w:szCs w:val="22"/>
        </w:rPr>
      </w:pPr>
    </w:p>
    <w:p w:rsidR="000A5140" w:rsidRPr="005B37F6" w:rsidRDefault="000A5140" w:rsidP="000A5140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0A5140" w:rsidRPr="005B37F6" w:rsidRDefault="000A5140" w:rsidP="000A5140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0A5140" w:rsidRPr="005B37F6" w:rsidRDefault="000A5140" w:rsidP="000A5140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2A5C64" w:rsidRPr="005B37F6" w:rsidRDefault="002A5C64" w:rsidP="000A5140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2A5C64" w:rsidRPr="005B37F6" w:rsidRDefault="002A5C64" w:rsidP="000A5140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A368F1" w:rsidRPr="0016271A" w:rsidRDefault="00A368F1" w:rsidP="00A368F1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  <w:r w:rsidRPr="0016271A">
        <w:rPr>
          <w:b/>
          <w:sz w:val="22"/>
          <w:szCs w:val="22"/>
        </w:rPr>
        <w:t>2. Общие требования к Товару:</w:t>
      </w:r>
    </w:p>
    <w:p w:rsidR="00A368F1" w:rsidRPr="0016271A" w:rsidRDefault="00A368F1" w:rsidP="00A368F1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Товар должен быть новым, не восстановленными, должен иметь заводскую сборку и выпускаться серийно.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Товар должен быть разрешен к применению на территории Российской Федерации, должен иметь сертификат соответствия.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Участник закупки должен предоставить единый федеральный номер службы поддержки Производителя Товара.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Заказчик вправе провести независимую экспертизу с целью детального исследования характеристик предлагаемого к поставке Товара на соответствия требованиям, установленным государственным Заказчиком в настоящем извещении.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Участник закупки должен предлагать Заказчику Товар, на который распространяются все гарантии производителя, а в случае заключения договора, обеспечивать поставку Товара, на который распространяются все гарантии производителя, а также представить Заказчику документы, подтверждающие гарантию производителя на поставляемый Товар в соответствии с требованиями ТЗ.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Для определения соответствия предложенного Товара требованиям ТЗ, участник закупки должен указать наименование производителя и модель каждого предложенного компонента, входящего в состав Товара и самого Товара.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Обязательно наличие документации на поставляемый Товар в электронном виде.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Поставляемый Товар должен быть упакован в стандартную оригинальную заводскую упаковку с защитными логотипами производителя и опечатан оригинальными заводскими наклейками. Упаковка должна обеспечивать сохранность Товара при транспортировке и хранении.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Каждая единица поставляемого Товара должна иметь на заводской упаковке четкое указание наименования, типа, номера (артикула) и характеристики Товара.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Поставляемый Товар не должен иметь потертостей, царапин и следов вскрытия.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Гарантийные обязательства Поставщика на поставляемый Товар должны обеспечиваться официальными авторизованными сервис-центрами Производителя.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708"/>
          <w:tab w:val="num" w:pos="1980"/>
        </w:tabs>
        <w:spacing w:line="60" w:lineRule="atLeast"/>
        <w:ind w:left="644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Поставщик гарантирует качество поставляемого Товара в соответствии с действующими стандартами, утвержденными в отношении данного вида товара.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В комплект поставляемого Товара должны входить все кабели, необходимые для его подключения и эксплуатации.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Поставщик гарантирует, что поставляемый Товар является комплектным и качественным, отвечает стандартам производителя.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spacing w:line="60" w:lineRule="atLeast"/>
        <w:ind w:left="0" w:right="176" w:firstLine="284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Каждая единица Товара, включая их отдельные детали, компоненты и составные части должны быть новыми, оригинальными, не восстановленными, не проходившими ремонт, в том числе восстановление, замену составных частей, восстановление потребительских свойств, предназначенными для страны Заказчика, должны иметь заводскую сборку и выпускаться серийно.</w:t>
      </w:r>
    </w:p>
    <w:p w:rsidR="00A368F1" w:rsidRPr="0016271A" w:rsidRDefault="00A368F1" w:rsidP="00A368F1">
      <w:pPr>
        <w:tabs>
          <w:tab w:val="left" w:pos="317"/>
        </w:tabs>
        <w:ind w:right="176"/>
        <w:jc w:val="both"/>
        <w:rPr>
          <w:bCs/>
          <w:sz w:val="22"/>
          <w:szCs w:val="22"/>
        </w:rPr>
      </w:pPr>
    </w:p>
    <w:p w:rsidR="00A368F1" w:rsidRPr="0016271A" w:rsidRDefault="00A368F1" w:rsidP="00A368F1">
      <w:pPr>
        <w:pStyle w:val="1"/>
        <w:ind w:left="567"/>
        <w:jc w:val="center"/>
        <w:rPr>
          <w:b/>
          <w:bCs/>
          <w:sz w:val="22"/>
          <w:szCs w:val="22"/>
        </w:rPr>
      </w:pPr>
      <w:r w:rsidRPr="0016271A">
        <w:rPr>
          <w:b/>
          <w:bCs/>
          <w:sz w:val="22"/>
          <w:szCs w:val="22"/>
        </w:rPr>
        <w:t>3. Требования к монтажу Товара и проведению пуско-наладочных работ</w:t>
      </w:r>
    </w:p>
    <w:p w:rsidR="00A368F1" w:rsidRPr="0016271A" w:rsidRDefault="00A368F1" w:rsidP="00A368F1">
      <w:pPr>
        <w:pStyle w:val="1"/>
        <w:ind w:left="567"/>
        <w:jc w:val="center"/>
        <w:rPr>
          <w:b/>
          <w:bCs/>
          <w:sz w:val="22"/>
          <w:szCs w:val="22"/>
        </w:rPr>
      </w:pPr>
    </w:p>
    <w:p w:rsidR="00A368F1" w:rsidRPr="0016271A" w:rsidRDefault="00A368F1" w:rsidP="00A368F1">
      <w:pPr>
        <w:pStyle w:val="1"/>
        <w:ind w:left="0" w:firstLine="567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Поставщик обязуется бесплатно осуществить монтаж и пуско-наладку всего поставленного по договору Товара в соответствии нижеперечисленными требованиями:</w:t>
      </w:r>
    </w:p>
    <w:p w:rsidR="00A368F1" w:rsidRPr="0016271A" w:rsidRDefault="00A368F1" w:rsidP="00A368F1">
      <w:pPr>
        <w:pStyle w:val="1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16271A">
        <w:rPr>
          <w:b/>
          <w:sz w:val="22"/>
          <w:szCs w:val="22"/>
        </w:rPr>
        <w:t>Подготовительные работы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Обследование места монтажа Товара на предмет готовности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Проверка наличия Товара по накладной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Распаковка Товара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Проверка комплектности Товара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Перемещение упаковочных материалов к месту хранения мусора (в пределах территории)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Монтаж Товара в позиции шкафа, указанные Заказчиком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Включение Товара и его первичная диагностика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Регистрация Товара на сайте Производителя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lastRenderedPageBreak/>
        <w:t>Получение актуальных версий встроенного и вспомогательного программного обеспечения для всего Товара с сайта Производителя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Обновление встроенного программного обеспечения Товара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Подключение оборудования в ЛВС Заказчика и конфигурирование сетевых портов в соответствии с сетевыми политиками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 xml:space="preserve">Создание </w:t>
      </w:r>
      <w:r w:rsidRPr="0016271A">
        <w:rPr>
          <w:sz w:val="22"/>
          <w:szCs w:val="22"/>
          <w:lang w:val="en-US"/>
        </w:rPr>
        <w:t>RAID</w:t>
      </w:r>
      <w:r w:rsidRPr="0016271A">
        <w:rPr>
          <w:sz w:val="22"/>
          <w:szCs w:val="22"/>
        </w:rPr>
        <w:t>-массивов в соответствии с требованиями Заказчика</w:t>
      </w:r>
    </w:p>
    <w:p w:rsidR="00A368F1" w:rsidRPr="0016271A" w:rsidRDefault="00A368F1" w:rsidP="00A368F1">
      <w:pPr>
        <w:rPr>
          <w:b/>
          <w:bCs/>
          <w:sz w:val="22"/>
          <w:szCs w:val="22"/>
        </w:rPr>
      </w:pPr>
    </w:p>
    <w:p w:rsidR="00A368F1" w:rsidRPr="0016271A" w:rsidRDefault="00A368F1" w:rsidP="00A368F1">
      <w:pPr>
        <w:jc w:val="center"/>
        <w:rPr>
          <w:b/>
          <w:bCs/>
          <w:sz w:val="22"/>
          <w:szCs w:val="22"/>
        </w:rPr>
      </w:pPr>
      <w:r w:rsidRPr="0016271A">
        <w:rPr>
          <w:b/>
          <w:bCs/>
          <w:sz w:val="22"/>
          <w:szCs w:val="22"/>
        </w:rPr>
        <w:t>4.  Требования к поставке</w:t>
      </w:r>
    </w:p>
    <w:p w:rsidR="00A368F1" w:rsidRPr="0016271A" w:rsidRDefault="00A368F1" w:rsidP="00A368F1">
      <w:pPr>
        <w:jc w:val="center"/>
        <w:rPr>
          <w:b/>
          <w:bCs/>
          <w:sz w:val="22"/>
          <w:szCs w:val="22"/>
        </w:rPr>
      </w:pPr>
    </w:p>
    <w:p w:rsidR="00810D8F" w:rsidRPr="005B37F6" w:rsidRDefault="00A368F1" w:rsidP="00A368F1">
      <w:pPr>
        <w:tabs>
          <w:tab w:val="left" w:pos="317"/>
        </w:tabs>
        <w:ind w:left="34" w:right="176" w:firstLine="142"/>
        <w:jc w:val="both"/>
      </w:pPr>
      <w:r w:rsidRPr="0016271A">
        <w:rPr>
          <w:bCs/>
          <w:sz w:val="22"/>
          <w:szCs w:val="22"/>
        </w:rPr>
        <w:t>Поставщик осуществляет поставку и настройку Товара</w:t>
      </w:r>
      <w:r>
        <w:rPr>
          <w:bCs/>
          <w:sz w:val="22"/>
          <w:szCs w:val="22"/>
        </w:rPr>
        <w:t xml:space="preserve"> в течение 6</w:t>
      </w:r>
      <w:r w:rsidRPr="0016271A">
        <w:rPr>
          <w:bCs/>
          <w:sz w:val="22"/>
          <w:szCs w:val="22"/>
        </w:rPr>
        <w:t>0 (</w:t>
      </w:r>
      <w:r>
        <w:rPr>
          <w:bCs/>
          <w:sz w:val="22"/>
          <w:szCs w:val="22"/>
        </w:rPr>
        <w:t>шестидесяти</w:t>
      </w:r>
      <w:r w:rsidRPr="0016271A">
        <w:rPr>
          <w:bCs/>
          <w:sz w:val="22"/>
          <w:szCs w:val="22"/>
        </w:rPr>
        <w:t>) календарных дней с момента заключения договора. При поставке Поставщик обязан представить документы, подтверждающие гарантию Производителя на Товар, котор</w:t>
      </w:r>
      <w:r>
        <w:rPr>
          <w:bCs/>
          <w:sz w:val="22"/>
          <w:szCs w:val="22"/>
        </w:rPr>
        <w:t>ый</w:t>
      </w:r>
      <w:r w:rsidRPr="0016271A">
        <w:rPr>
          <w:bCs/>
          <w:sz w:val="22"/>
          <w:szCs w:val="22"/>
        </w:rPr>
        <w:t xml:space="preserve"> соответствует требованиям технического задания. Приёмка Товара производится после пятидневного круглосуточного демонстрационного тестирования при полной нагрузке. При этом в случае наличия существенных сбоев в работе Товара, Заказчик имеет право отказаться от приёмки Товара, как </w:t>
      </w:r>
      <w:proofErr w:type="gramStart"/>
      <w:r w:rsidRPr="0016271A">
        <w:rPr>
          <w:bCs/>
          <w:sz w:val="22"/>
          <w:szCs w:val="22"/>
        </w:rPr>
        <w:t>от</w:t>
      </w:r>
      <w:proofErr w:type="gramEnd"/>
      <w:r w:rsidRPr="0016271A">
        <w:rPr>
          <w:bCs/>
          <w:sz w:val="22"/>
          <w:szCs w:val="22"/>
        </w:rPr>
        <w:t xml:space="preserve"> несоответствующего его нуждам.</w:t>
      </w:r>
    </w:p>
    <w:sectPr w:rsidR="00810D8F" w:rsidRPr="005B37F6" w:rsidSect="00CB7A80">
      <w:pgSz w:w="16838" w:h="11906" w:orient="landscape"/>
      <w:pgMar w:top="360" w:right="851" w:bottom="36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6F6"/>
    <w:multiLevelType w:val="hybridMultilevel"/>
    <w:tmpl w:val="B1161AF2"/>
    <w:lvl w:ilvl="0" w:tplc="43662D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DAD45B1"/>
    <w:multiLevelType w:val="hybridMultilevel"/>
    <w:tmpl w:val="B4C0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63843"/>
    <w:multiLevelType w:val="hybridMultilevel"/>
    <w:tmpl w:val="F78A1DCA"/>
    <w:lvl w:ilvl="0" w:tplc="2D5EC58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B7"/>
    <w:rsid w:val="000A5140"/>
    <w:rsid w:val="002A5C64"/>
    <w:rsid w:val="00403893"/>
    <w:rsid w:val="005B37F6"/>
    <w:rsid w:val="0077082C"/>
    <w:rsid w:val="00773ABC"/>
    <w:rsid w:val="00810D8F"/>
    <w:rsid w:val="00834660"/>
    <w:rsid w:val="00A368F1"/>
    <w:rsid w:val="00A6727F"/>
    <w:rsid w:val="00B33A39"/>
    <w:rsid w:val="00D427CD"/>
    <w:rsid w:val="00E10BB7"/>
    <w:rsid w:val="00E43B6B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0A5140"/>
    <w:pPr>
      <w:ind w:left="720"/>
      <w:contextualSpacing/>
    </w:pPr>
    <w:rPr>
      <w:sz w:val="26"/>
      <w:szCs w:val="20"/>
    </w:rPr>
  </w:style>
  <w:style w:type="character" w:customStyle="1" w:styleId="ListParagraphChar">
    <w:name w:val="List Paragraph Char"/>
    <w:link w:val="1"/>
    <w:locked/>
    <w:rsid w:val="000A514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0A5140"/>
    <w:pPr>
      <w:ind w:left="720"/>
      <w:contextualSpacing/>
    </w:pPr>
    <w:rPr>
      <w:sz w:val="26"/>
      <w:szCs w:val="20"/>
    </w:rPr>
  </w:style>
  <w:style w:type="character" w:customStyle="1" w:styleId="ListParagraphChar">
    <w:name w:val="List Paragraph Char"/>
    <w:link w:val="1"/>
    <w:locked/>
    <w:rsid w:val="000A514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sn.vasiliev</dc:creator>
  <cp:lastModifiedBy>Василевская Анна Владиславовна</cp:lastModifiedBy>
  <cp:revision>13</cp:revision>
  <dcterms:created xsi:type="dcterms:W3CDTF">2019-08-08T05:56:00Z</dcterms:created>
  <dcterms:modified xsi:type="dcterms:W3CDTF">2019-09-13T11:21:00Z</dcterms:modified>
</cp:coreProperties>
</file>