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7B" w:rsidRPr="00EC2CAE" w:rsidRDefault="008E467B" w:rsidP="008E467B">
      <w:pPr>
        <w:suppressAutoHyphens w:val="0"/>
        <w:jc w:val="center"/>
        <w:rPr>
          <w:b/>
          <w:iCs/>
          <w:snapToGrid w:val="0"/>
          <w:sz w:val="24"/>
          <w:szCs w:val="24"/>
          <w:lang w:eastAsia="ru-RU"/>
        </w:rPr>
      </w:pPr>
      <w:r>
        <w:rPr>
          <w:b/>
          <w:iCs/>
          <w:snapToGrid w:val="0"/>
          <w:sz w:val="24"/>
          <w:szCs w:val="24"/>
          <w:lang w:eastAsia="ru-RU"/>
        </w:rPr>
        <w:t xml:space="preserve"> </w:t>
      </w:r>
      <w:r w:rsidRPr="00BD6783">
        <w:rPr>
          <w:b/>
          <w:iCs/>
          <w:snapToGrid w:val="0"/>
          <w:sz w:val="24"/>
          <w:szCs w:val="24"/>
          <w:lang w:eastAsia="ru-RU"/>
        </w:rPr>
        <w:t>Техническое задание на оказание услуг</w:t>
      </w:r>
    </w:p>
    <w:p w:rsidR="008E467B" w:rsidRDefault="008E467B" w:rsidP="008E467B">
      <w:pPr>
        <w:suppressAutoHyphens w:val="0"/>
        <w:spacing w:line="276" w:lineRule="auto"/>
        <w:rPr>
          <w:iCs/>
          <w:snapToGrid w:val="0"/>
          <w:sz w:val="24"/>
          <w:szCs w:val="24"/>
          <w:lang w:eastAsia="ru-RU"/>
        </w:rPr>
      </w:pPr>
    </w:p>
    <w:p w:rsidR="008E467B" w:rsidRPr="00BF00F5" w:rsidRDefault="008E467B" w:rsidP="00682F43">
      <w:pPr>
        <w:suppressAutoHyphens w:val="0"/>
        <w:spacing w:line="276" w:lineRule="auto"/>
        <w:ind w:firstLine="993"/>
        <w:rPr>
          <w:iCs/>
          <w:snapToGrid w:val="0"/>
          <w:sz w:val="24"/>
          <w:szCs w:val="24"/>
          <w:lang w:eastAsia="ru-RU"/>
        </w:rPr>
      </w:pPr>
      <w:r w:rsidRPr="00BF00F5">
        <w:rPr>
          <w:sz w:val="24"/>
          <w:szCs w:val="24"/>
        </w:rPr>
        <w:t xml:space="preserve">Оказание услуг </w:t>
      </w:r>
      <w:r w:rsidR="00682F43">
        <w:rPr>
          <w:sz w:val="24"/>
          <w:szCs w:val="24"/>
        </w:rPr>
        <w:t xml:space="preserve">по проведению расчетов </w:t>
      </w:r>
      <w:r w:rsidRPr="00BF00F5">
        <w:rPr>
          <w:sz w:val="24"/>
          <w:szCs w:val="24"/>
        </w:rPr>
        <w:t xml:space="preserve">по  </w:t>
      </w:r>
      <w:r w:rsidRPr="00BF00F5">
        <w:rPr>
          <w:bCs w:val="0"/>
          <w:sz w:val="24"/>
          <w:szCs w:val="24"/>
        </w:rPr>
        <w:t>операциям</w:t>
      </w:r>
      <w:r w:rsidR="00682F43">
        <w:rPr>
          <w:bCs w:val="0"/>
          <w:sz w:val="24"/>
          <w:szCs w:val="24"/>
        </w:rPr>
        <w:t>, совершаемым</w:t>
      </w:r>
      <w:r w:rsidRPr="00BF00F5">
        <w:rPr>
          <w:bCs w:val="0"/>
          <w:sz w:val="24"/>
          <w:szCs w:val="24"/>
        </w:rPr>
        <w:t xml:space="preserve"> с</w:t>
      </w:r>
      <w:r w:rsidR="00682F43">
        <w:rPr>
          <w:bCs w:val="0"/>
          <w:sz w:val="24"/>
          <w:szCs w:val="24"/>
        </w:rPr>
        <w:t xml:space="preserve"> использованием </w:t>
      </w:r>
      <w:r w:rsidRPr="00BF00F5">
        <w:rPr>
          <w:bCs w:val="0"/>
          <w:sz w:val="24"/>
          <w:szCs w:val="24"/>
        </w:rPr>
        <w:t xml:space="preserve"> платежны</w:t>
      </w:r>
      <w:r w:rsidR="00682F43">
        <w:rPr>
          <w:bCs w:val="0"/>
          <w:sz w:val="24"/>
          <w:szCs w:val="24"/>
        </w:rPr>
        <w:t>х</w:t>
      </w:r>
      <w:r w:rsidRPr="00BF00F5">
        <w:rPr>
          <w:bCs w:val="0"/>
          <w:sz w:val="24"/>
          <w:szCs w:val="24"/>
        </w:rPr>
        <w:t xml:space="preserve"> карт</w:t>
      </w:r>
      <w:r w:rsidR="00682F43">
        <w:rPr>
          <w:bCs w:val="0"/>
          <w:sz w:val="24"/>
          <w:szCs w:val="24"/>
        </w:rPr>
        <w:t xml:space="preserve"> (банковских карт)</w:t>
      </w:r>
      <w:r w:rsidRPr="00BF00F5">
        <w:rPr>
          <w:bCs w:val="0"/>
          <w:sz w:val="24"/>
          <w:szCs w:val="24"/>
        </w:rPr>
        <w:t>, в</w:t>
      </w:r>
      <w:r w:rsidR="00682F43">
        <w:rPr>
          <w:bCs w:val="0"/>
          <w:sz w:val="24"/>
          <w:szCs w:val="24"/>
        </w:rPr>
        <w:t xml:space="preserve"> целях</w:t>
      </w:r>
      <w:r w:rsidRPr="00BF00F5">
        <w:rPr>
          <w:bCs w:val="0"/>
          <w:sz w:val="24"/>
          <w:szCs w:val="24"/>
        </w:rPr>
        <w:t xml:space="preserve"> оплат</w:t>
      </w:r>
      <w:r w:rsidR="00682F43">
        <w:rPr>
          <w:bCs w:val="0"/>
          <w:sz w:val="24"/>
          <w:szCs w:val="24"/>
        </w:rPr>
        <w:t>ы</w:t>
      </w:r>
      <w:r w:rsidRPr="00BF00F5">
        <w:rPr>
          <w:bCs w:val="0"/>
          <w:sz w:val="24"/>
          <w:szCs w:val="24"/>
        </w:rPr>
        <w:t xml:space="preserve"> электроэнергии</w:t>
      </w:r>
      <w:r w:rsidR="00682F43">
        <w:rPr>
          <w:sz w:val="24"/>
          <w:szCs w:val="24"/>
        </w:rPr>
        <w:t xml:space="preserve"> (услуги </w:t>
      </w:r>
      <w:proofErr w:type="gramStart"/>
      <w:r w:rsidR="00682F43">
        <w:rPr>
          <w:sz w:val="24"/>
          <w:szCs w:val="24"/>
        </w:rPr>
        <w:t>торгового</w:t>
      </w:r>
      <w:proofErr w:type="gramEnd"/>
      <w:r w:rsidR="00682F43">
        <w:rPr>
          <w:sz w:val="24"/>
          <w:szCs w:val="24"/>
        </w:rPr>
        <w:t xml:space="preserve"> </w:t>
      </w:r>
      <w:proofErr w:type="spellStart"/>
      <w:r w:rsidR="00682F43">
        <w:rPr>
          <w:sz w:val="24"/>
          <w:szCs w:val="24"/>
        </w:rPr>
        <w:t>эквайринга</w:t>
      </w:r>
      <w:proofErr w:type="spellEnd"/>
      <w:r w:rsidR="00682F43">
        <w:rPr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7453"/>
      </w:tblGrid>
      <w:tr w:rsidR="008E467B" w:rsidRPr="00983FA2" w:rsidTr="0099631B">
        <w:tc>
          <w:tcPr>
            <w:tcW w:w="9463" w:type="dxa"/>
            <w:gridSpan w:val="2"/>
          </w:tcPr>
          <w:p w:rsidR="008E467B" w:rsidRPr="000B716B" w:rsidRDefault="008E467B" w:rsidP="00D362C6">
            <w:pPr>
              <w:suppressAutoHyphens w:val="0"/>
              <w:spacing w:line="276" w:lineRule="auto"/>
              <w:jc w:val="center"/>
              <w:rPr>
                <w:b/>
                <w:bCs w:val="0"/>
                <w:snapToGrid w:val="0"/>
                <w:sz w:val="20"/>
                <w:szCs w:val="20"/>
                <w:lang w:eastAsia="ru-RU"/>
              </w:rPr>
            </w:pPr>
            <w:r w:rsidRPr="000B716B">
              <w:rPr>
                <w:b/>
                <w:bCs w:val="0"/>
                <w:snapToGrid w:val="0"/>
                <w:sz w:val="20"/>
                <w:szCs w:val="20"/>
                <w:lang w:eastAsia="ru-RU"/>
              </w:rPr>
              <w:t>Требования к услугам</w:t>
            </w:r>
          </w:p>
        </w:tc>
      </w:tr>
      <w:tr w:rsidR="008E467B" w:rsidRPr="00983FA2" w:rsidTr="00496E1F">
        <w:trPr>
          <w:trHeight w:val="348"/>
        </w:trPr>
        <w:tc>
          <w:tcPr>
            <w:tcW w:w="2010" w:type="dxa"/>
          </w:tcPr>
          <w:p w:rsidR="008E467B" w:rsidRPr="000B716B" w:rsidRDefault="008E467B" w:rsidP="00D362C6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0B716B">
              <w:rPr>
                <w:bCs w:val="0"/>
                <w:snapToGrid w:val="0"/>
                <w:sz w:val="20"/>
                <w:szCs w:val="20"/>
                <w:lang w:eastAsia="ru-RU"/>
              </w:rPr>
              <w:t>1. Объем услуг</w:t>
            </w:r>
          </w:p>
        </w:tc>
        <w:tc>
          <w:tcPr>
            <w:tcW w:w="7453" w:type="dxa"/>
          </w:tcPr>
          <w:p w:rsidR="008E467B" w:rsidRDefault="008E467B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83578E">
              <w:rPr>
                <w:bCs w:val="0"/>
                <w:snapToGrid w:val="0"/>
                <w:sz w:val="20"/>
                <w:szCs w:val="20"/>
                <w:lang w:eastAsia="ru-RU"/>
              </w:rPr>
              <w:t>Осуществление операций с платежными картами, принятыми от физических лиц, через территориальные структурные подразделения Заказчика.</w:t>
            </w:r>
          </w:p>
          <w:p w:rsidR="007E49A9" w:rsidRPr="003C5C61" w:rsidRDefault="007E49A9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496E1F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Прогнозируемый (ориентировочный) объем денежных средств, принимаемых от физических лиц в оплату электроэнергии посредством платежных карт в период оказания услуг в соответствии с договором, </w:t>
            </w:r>
            <w:r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>состав</w:t>
            </w:r>
            <w:r w:rsidR="00496E1F"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>и</w:t>
            </w:r>
            <w:r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т </w:t>
            </w:r>
            <w:r w:rsidR="00F5277D">
              <w:rPr>
                <w:bCs w:val="0"/>
                <w:snapToGrid w:val="0"/>
                <w:sz w:val="20"/>
                <w:szCs w:val="20"/>
                <w:lang w:eastAsia="ru-RU"/>
              </w:rPr>
              <w:t>275 000 000</w:t>
            </w:r>
            <w:r w:rsidR="00A847ED"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>рублей.</w:t>
            </w:r>
          </w:p>
          <w:p w:rsidR="007E49A9" w:rsidRPr="00333A20" w:rsidRDefault="007E49A9" w:rsidP="00F5277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Лимит финансирования для оплаты оказанных услуг по проведению расчетов по  операциям, совершаемым с использованием  платежных карт (банковских карт), в целях оплаты электроэнергии, составляет </w:t>
            </w:r>
            <w:r w:rsidR="00F5277D">
              <w:rPr>
                <w:bCs w:val="0"/>
                <w:snapToGrid w:val="0"/>
                <w:sz w:val="20"/>
                <w:szCs w:val="20"/>
                <w:lang w:eastAsia="ru-RU"/>
              </w:rPr>
              <w:t>1 512 500,00 (Один миллион пятьсот двенадцать тысяч пятьсот)</w:t>
            </w:r>
            <w:r w:rsidR="00A847ED"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>рублей</w:t>
            </w:r>
            <w:r w:rsidR="00F5277D">
              <w:rPr>
                <w:bCs w:val="0"/>
                <w:snapToGrid w:val="0"/>
                <w:sz w:val="20"/>
                <w:szCs w:val="20"/>
                <w:lang w:eastAsia="ru-RU"/>
              </w:rPr>
              <w:t>, (НДС не облагается).</w:t>
            </w:r>
          </w:p>
        </w:tc>
      </w:tr>
      <w:tr w:rsidR="007000E2" w:rsidRPr="00983FA2" w:rsidTr="00496E1F">
        <w:trPr>
          <w:trHeight w:val="348"/>
        </w:trPr>
        <w:tc>
          <w:tcPr>
            <w:tcW w:w="2010" w:type="dxa"/>
          </w:tcPr>
          <w:p w:rsidR="007000E2" w:rsidRPr="007000E2" w:rsidRDefault="00496E1F" w:rsidP="00496E1F">
            <w:pPr>
              <w:tabs>
                <w:tab w:val="num" w:pos="176"/>
              </w:tabs>
              <w:suppressAutoHyphens w:val="0"/>
              <w:spacing w:line="240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highlight w:val="green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2. </w:t>
            </w:r>
            <w:r w:rsidR="007000E2" w:rsidRPr="00AE745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7453" w:type="dxa"/>
          </w:tcPr>
          <w:p w:rsidR="007000E2" w:rsidRDefault="0099631B" w:rsidP="004D71C0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99631B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Максимальная величина вознаграждения от суммы принятых платежей в пользу Заказчика </w:t>
            </w:r>
            <w:r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>не более 0,5</w:t>
            </w:r>
            <w:r w:rsidR="00C15D7F"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>5</w:t>
            </w:r>
            <w:r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(Ноль целых пятьдесят </w:t>
            </w:r>
            <w:r w:rsidR="00C15D7F"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>пять</w:t>
            </w:r>
            <w:r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сотых) процентов</w:t>
            </w:r>
            <w:r w:rsidR="004D71C0"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от фактической суммы принятых платежей в пользу Заказчика, что составляет </w:t>
            </w:r>
            <w:r w:rsidR="00F5277D">
              <w:rPr>
                <w:bCs w:val="0"/>
                <w:snapToGrid w:val="0"/>
                <w:sz w:val="20"/>
                <w:szCs w:val="20"/>
                <w:lang w:eastAsia="ru-RU"/>
              </w:rPr>
              <w:t>1 512 500,00 (Один миллион пятьсот двенадцать тысяч пятьсот)</w:t>
            </w:r>
            <w:r w:rsidR="00F5277D" w:rsidRPr="003C5C6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рублей</w:t>
            </w:r>
            <w:r w:rsidR="00F5277D">
              <w:rPr>
                <w:bCs w:val="0"/>
                <w:snapToGrid w:val="0"/>
                <w:sz w:val="20"/>
                <w:szCs w:val="20"/>
                <w:lang w:eastAsia="ru-RU"/>
              </w:rPr>
              <w:t>, (НДС не облагается)</w:t>
            </w:r>
            <w:r w:rsidRPr="0099631B">
              <w:rPr>
                <w:bCs w:val="0"/>
                <w:snapToGrid w:val="0"/>
                <w:sz w:val="20"/>
                <w:szCs w:val="20"/>
                <w:lang w:eastAsia="ru-RU"/>
              </w:rPr>
              <w:t>. Ставка должна быть неизменной в течение всего срока действия договора.  При оказании услуг не допускается взимание любых платежей с физических лиц.</w:t>
            </w:r>
          </w:p>
        </w:tc>
      </w:tr>
      <w:tr w:rsidR="007000E2" w:rsidRPr="00983FA2" w:rsidTr="00496E1F">
        <w:trPr>
          <w:trHeight w:val="348"/>
        </w:trPr>
        <w:tc>
          <w:tcPr>
            <w:tcW w:w="2010" w:type="dxa"/>
            <w:shd w:val="clear" w:color="auto" w:fill="auto"/>
          </w:tcPr>
          <w:p w:rsidR="007000E2" w:rsidRPr="00A847ED" w:rsidRDefault="00496E1F" w:rsidP="00496E1F">
            <w:pPr>
              <w:spacing w:line="240" w:lineRule="auto"/>
              <w:ind w:firstLine="34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3. </w:t>
            </w:r>
            <w:r w:rsidR="007000E2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Порядок формирования начальной (максимальной) цены договора </w:t>
            </w:r>
          </w:p>
          <w:p w:rsidR="007000E2" w:rsidRPr="00A847ED" w:rsidRDefault="007000E2" w:rsidP="00D362C6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453" w:type="dxa"/>
            <w:shd w:val="clear" w:color="auto" w:fill="auto"/>
          </w:tcPr>
          <w:p w:rsidR="007000E2" w:rsidRPr="00A847ED" w:rsidRDefault="007000E2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Начальная (максимальная) цена договора включает все расходы, связанные с оказанием услуг</w:t>
            </w:r>
            <w:r w:rsidR="00CA3137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торгового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эквайринга</w:t>
            </w:r>
            <w:proofErr w:type="spellEnd"/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, в том числе:</w:t>
            </w:r>
          </w:p>
          <w:p w:rsidR="007000E2" w:rsidRPr="00A847ED" w:rsidRDefault="007000E2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- расходы, связанные с доставкой оборудования;</w:t>
            </w:r>
          </w:p>
          <w:p w:rsidR="007000E2" w:rsidRPr="00A847ED" w:rsidRDefault="007000E2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- расходы, связанные с </w:t>
            </w:r>
            <w:r w:rsidR="00AE745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пользованием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оборудовани</w:t>
            </w:r>
            <w:r w:rsidR="00AE745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ем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;</w:t>
            </w:r>
          </w:p>
          <w:p w:rsidR="007000E2" w:rsidRPr="00A847ED" w:rsidRDefault="007000E2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- расходы, связанные с технической поддержкой и обслуживанием оборудования;</w:t>
            </w:r>
          </w:p>
          <w:p w:rsidR="007E49A9" w:rsidRPr="00A847ED" w:rsidRDefault="007E49A9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- стоимость расходных матер</w:t>
            </w:r>
            <w:r w:rsidR="00AE745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и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алов;</w:t>
            </w:r>
          </w:p>
          <w:p w:rsidR="007000E2" w:rsidRPr="00A847ED" w:rsidRDefault="007000E2" w:rsidP="007000E2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- доступ к отчетам о проведенных операциях;</w:t>
            </w:r>
          </w:p>
          <w:p w:rsidR="007000E2" w:rsidRPr="00A847ED" w:rsidRDefault="007000E2" w:rsidP="009C21C1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- комиссию за перевод денежных средств на счет </w:t>
            </w:r>
            <w:r w:rsidR="009C21C1">
              <w:rPr>
                <w:bCs w:val="0"/>
                <w:snapToGrid w:val="0"/>
                <w:sz w:val="20"/>
                <w:szCs w:val="20"/>
                <w:lang w:eastAsia="ru-RU"/>
              </w:rPr>
              <w:t>Заказчика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</w:p>
        </w:tc>
      </w:tr>
      <w:tr w:rsidR="007000E2" w:rsidRPr="00983FA2" w:rsidTr="00496E1F">
        <w:trPr>
          <w:trHeight w:val="348"/>
        </w:trPr>
        <w:tc>
          <w:tcPr>
            <w:tcW w:w="2010" w:type="dxa"/>
            <w:shd w:val="clear" w:color="auto" w:fill="auto"/>
          </w:tcPr>
          <w:p w:rsidR="007000E2" w:rsidRPr="00A847ED" w:rsidRDefault="00496E1F" w:rsidP="007E49A9">
            <w:pPr>
              <w:tabs>
                <w:tab w:val="num" w:pos="720"/>
              </w:tabs>
              <w:suppressAutoHyphens w:val="0"/>
              <w:spacing w:line="240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4. </w:t>
            </w:r>
            <w:r w:rsidR="007E49A9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Применяемая при расчете начальной (максимальной) цены ставка НДС</w:t>
            </w:r>
          </w:p>
        </w:tc>
        <w:tc>
          <w:tcPr>
            <w:tcW w:w="7453" w:type="dxa"/>
            <w:shd w:val="clear" w:color="auto" w:fill="auto"/>
          </w:tcPr>
          <w:p w:rsidR="007000E2" w:rsidRPr="00A847ED" w:rsidRDefault="007E49A9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НДС не облагается на основании пункта 3 ст.149 Налогового Кодекса РФ.</w:t>
            </w:r>
          </w:p>
        </w:tc>
      </w:tr>
      <w:tr w:rsidR="008E467B" w:rsidRPr="00983FA2" w:rsidTr="00496E1F">
        <w:trPr>
          <w:trHeight w:val="348"/>
        </w:trPr>
        <w:tc>
          <w:tcPr>
            <w:tcW w:w="2010" w:type="dxa"/>
          </w:tcPr>
          <w:p w:rsidR="008E467B" w:rsidRPr="000B716B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5</w:t>
            </w:r>
            <w:r w:rsidR="008E467B" w:rsidRPr="000B716B">
              <w:rPr>
                <w:bCs w:val="0"/>
                <w:snapToGrid w:val="0"/>
                <w:sz w:val="20"/>
                <w:szCs w:val="20"/>
                <w:lang w:eastAsia="ru-RU"/>
              </w:rPr>
              <w:t>. Требования к услугам</w:t>
            </w:r>
          </w:p>
        </w:tc>
        <w:tc>
          <w:tcPr>
            <w:tcW w:w="7453" w:type="dxa"/>
          </w:tcPr>
          <w:p w:rsidR="008E467B" w:rsidRPr="00333A20" w:rsidRDefault="001964CE" w:rsidP="005D1164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1. </w:t>
            </w:r>
            <w:r w:rsidR="008E467B">
              <w:rPr>
                <w:bCs w:val="0"/>
                <w:snapToGrid w:val="0"/>
                <w:sz w:val="20"/>
                <w:szCs w:val="20"/>
                <w:lang w:eastAsia="ru-RU"/>
              </w:rPr>
              <w:t>О</w:t>
            </w:r>
            <w:r w:rsidR="008E467B" w:rsidRPr="00333A2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перации с платежными картами  осуществляются с соблюдением требований </w:t>
            </w:r>
            <w:r w:rsidR="00AE745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действующего </w:t>
            </w:r>
            <w:r w:rsidR="008E467B" w:rsidRPr="00333A20">
              <w:rPr>
                <w:bCs w:val="0"/>
                <w:snapToGrid w:val="0"/>
                <w:sz w:val="20"/>
                <w:szCs w:val="20"/>
                <w:lang w:eastAsia="ru-RU"/>
              </w:rPr>
              <w:t>законодательства РФ</w:t>
            </w:r>
            <w:r w:rsidR="00AE745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</w:p>
          <w:p w:rsidR="008E467B" w:rsidRPr="00A847ED" w:rsidRDefault="001964CE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2. </w:t>
            </w:r>
            <w:r w:rsidR="008E467B" w:rsidRPr="00333A2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При оказании услуг не допускается взимание любых платежей с </w:t>
            </w:r>
            <w:r w:rsidR="008E467B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физических лиц.</w:t>
            </w:r>
          </w:p>
          <w:p w:rsidR="005D1164" w:rsidRPr="00A847ED" w:rsidRDefault="005D1164" w:rsidP="005D1164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3.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  <w:t xml:space="preserve">Исполнитель бесплатно осуществляет установку Заказчику во временное пользование на весь срок действия Договора необходимое оборудование на объектах </w:t>
            </w:r>
            <w:r w:rsidR="002308F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Заказчика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, обеспечивает информационными материалами, необходимыми для работы с платежными картами.</w:t>
            </w:r>
          </w:p>
          <w:p w:rsidR="000A02F8" w:rsidRPr="00A847ED" w:rsidRDefault="000A02F8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4.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  <w:t xml:space="preserve">Установка и подключение терминалов к рабочим местам </w:t>
            </w:r>
            <w:r w:rsidR="002308F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Заказчика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осуществляется силами Исполнителя.</w:t>
            </w:r>
          </w:p>
          <w:p w:rsidR="000A02F8" w:rsidRPr="00A847ED" w:rsidRDefault="000A02F8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5.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  <w:t>Исполнитель бесплатно осуществляет техническую поддержку</w:t>
            </w:r>
            <w:r w:rsidR="002308F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и обслуживание оборудования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, в том числе  оперативные консультации в случае возникновения затруднений при оформлении операций оплаты по картам.</w:t>
            </w:r>
          </w:p>
          <w:p w:rsidR="000A02F8" w:rsidRPr="00A847ED" w:rsidRDefault="00CC08E9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6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Исполнитель о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беспечи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вает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контроль и управление отчетностью, с возможностью отслеживания и сверки платежей. </w:t>
            </w:r>
          </w:p>
          <w:p w:rsidR="000A02F8" w:rsidRPr="00A847ED" w:rsidRDefault="00CC08E9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7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Исполнитель бесплатно осуществляет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удаленное обновление программного обеспечения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308F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оборудования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</w:p>
          <w:p w:rsidR="000A02F8" w:rsidRPr="00A847ED" w:rsidRDefault="00CC08E9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8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Исполнитель обеспечивает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электронную авторизацию (разрешение на проведение операций с использованием банковских карт).</w:t>
            </w:r>
          </w:p>
          <w:p w:rsidR="005D1164" w:rsidRPr="00333A20" w:rsidRDefault="003665EE" w:rsidP="000A02F8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9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.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ab/>
              <w:t xml:space="preserve">Расчеты при совершении операций производятся в валюте Российской </w:t>
            </w:r>
            <w:r w:rsidR="000A02F8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>Федерации.</w:t>
            </w:r>
          </w:p>
        </w:tc>
      </w:tr>
      <w:tr w:rsidR="00E675DD" w:rsidRPr="00983FA2" w:rsidTr="00496E1F">
        <w:tc>
          <w:tcPr>
            <w:tcW w:w="2010" w:type="dxa"/>
          </w:tcPr>
          <w:p w:rsidR="00E675DD" w:rsidRPr="006762FF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highlight w:val="green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 xml:space="preserve">6. </w:t>
            </w:r>
            <w:r w:rsidR="00E675D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Требования к оборудованию</w:t>
            </w:r>
            <w:r w:rsidR="00E675DD" w:rsidRPr="00A847ED">
              <w:t xml:space="preserve"> </w:t>
            </w:r>
            <w:r w:rsidR="00E675D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и предустановленному программному обеспечению оборудования</w:t>
            </w:r>
          </w:p>
        </w:tc>
        <w:tc>
          <w:tcPr>
            <w:tcW w:w="7453" w:type="dxa"/>
          </w:tcPr>
          <w:p w:rsidR="00E675DD" w:rsidRPr="00A847ED" w:rsidRDefault="008E779D" w:rsidP="008E779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1. </w:t>
            </w:r>
            <w:r w:rsidR="00E675DD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Оборудование должно быть совместимым со средствами вычислительной техники, используемыми Заказчиком.</w:t>
            </w:r>
          </w:p>
          <w:p w:rsidR="008E779D" w:rsidRPr="006762FF" w:rsidRDefault="008E779D" w:rsidP="008E779D">
            <w:pPr>
              <w:spacing w:line="240" w:lineRule="auto"/>
              <w:ind w:firstLine="0"/>
              <w:rPr>
                <w:snapToGrid w:val="0"/>
                <w:sz w:val="20"/>
                <w:szCs w:val="20"/>
                <w:highlight w:val="green"/>
                <w:lang w:eastAsia="ru-RU"/>
              </w:rPr>
            </w:pPr>
            <w:r w:rsidRPr="00A847ED">
              <w:rPr>
                <w:snapToGrid w:val="0"/>
                <w:sz w:val="20"/>
                <w:szCs w:val="20"/>
                <w:lang w:eastAsia="ru-RU"/>
              </w:rPr>
              <w:t>2. Оборудование должно соответствовать следующим техническим характеристикам:</w:t>
            </w:r>
          </w:p>
          <w:tbl>
            <w:tblPr>
              <w:tblpPr w:leftFromText="180" w:rightFromText="180" w:vertAnchor="page" w:horzAnchor="margin" w:tblpY="1054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677"/>
            </w:tblGrid>
            <w:tr w:rsidR="008E779D" w:rsidRPr="00CB2DC4" w:rsidTr="00496E1F">
              <w:trPr>
                <w:trHeight w:val="595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:rsidR="008E779D" w:rsidRPr="00DC01D3" w:rsidRDefault="008E779D" w:rsidP="008E779D">
                  <w:pPr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01D3">
                    <w:rPr>
                      <w:b/>
                      <w:color w:val="000000"/>
                      <w:sz w:val="20"/>
                      <w:szCs w:val="20"/>
                    </w:rPr>
                    <w:t>Экран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8E779D" w:rsidRPr="00DC01D3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DC01D3">
                    <w:rPr>
                      <w:color w:val="000000"/>
                      <w:sz w:val="20"/>
                      <w:szCs w:val="20"/>
                    </w:rPr>
                    <w:t>Дисплей должен быть не менее 8-разрядный, жидкокристаллический, должен вмещать до 16 символов и поддерживать режим бегущей строки</w:t>
                  </w:r>
                </w:p>
              </w:tc>
            </w:tr>
            <w:tr w:rsidR="008E779D" w:rsidRPr="00CB2DC4" w:rsidTr="00496E1F">
              <w:trPr>
                <w:trHeight w:val="442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b/>
                      <w:color w:val="000000"/>
                      <w:sz w:val="20"/>
                      <w:szCs w:val="20"/>
                    </w:rPr>
                    <w:t>Клавиатура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>Не менее 16 больших клавиш, материал клавиш должен быть твердая текстурированная резина</w:t>
                  </w:r>
                </w:p>
              </w:tc>
            </w:tr>
            <w:tr w:rsidR="008E779D" w:rsidRPr="00CB2DC4" w:rsidTr="00496E1F">
              <w:trPr>
                <w:trHeight w:val="276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b/>
                      <w:color w:val="000000"/>
                      <w:sz w:val="20"/>
                      <w:szCs w:val="20"/>
                    </w:rPr>
                    <w:t>Безопасность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>Шифрование</w:t>
                  </w:r>
                  <w:r w:rsidR="003C5C61" w:rsidRPr="002F20D2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должна быть полная поддержка стандарта 3</w:t>
                  </w:r>
                  <w:r w:rsidRPr="002F20D2">
                    <w:rPr>
                      <w:color w:val="000000"/>
                      <w:sz w:val="20"/>
                      <w:szCs w:val="20"/>
                      <w:lang w:val="en-US"/>
                    </w:rPr>
                    <w:t>DES</w:t>
                  </w:r>
                </w:p>
              </w:tc>
            </w:tr>
            <w:tr w:rsidR="008E779D" w:rsidRPr="006762FF" w:rsidTr="00496E1F">
              <w:trPr>
                <w:trHeight w:val="419"/>
              </w:trPr>
              <w:tc>
                <w:tcPr>
                  <w:tcW w:w="2122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b/>
                      <w:color w:val="000000"/>
                      <w:sz w:val="20"/>
                      <w:szCs w:val="20"/>
                    </w:rPr>
                    <w:t>Условия эксплуатации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8E779D" w:rsidRPr="002F20D2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Рабочая температура  не хуже 0 ° C до 40 ° C  </w:t>
                  </w:r>
                  <w:r w:rsidRPr="002F20D2">
                    <w:rPr>
                      <w:color w:val="000000"/>
                      <w:sz w:val="20"/>
                      <w:szCs w:val="20"/>
                    </w:rPr>
                    <w:br/>
                    <w:t xml:space="preserve">Относительная влажность, не хуже  от 15% до 90% </w:t>
                  </w:r>
                </w:p>
              </w:tc>
            </w:tr>
            <w:tr w:rsidR="008E779D" w:rsidRPr="006762FF" w:rsidTr="00496E1F">
              <w:trPr>
                <w:trHeight w:val="1189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8E779D" w:rsidRPr="002F20D2" w:rsidRDefault="008E779D" w:rsidP="008E779D">
                  <w:pPr>
                    <w:spacing w:line="240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b/>
                      <w:color w:val="000000"/>
                      <w:sz w:val="20"/>
                      <w:szCs w:val="20"/>
                    </w:rPr>
                    <w:t>Прочие характеристики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:rsidR="008E779D" w:rsidRPr="002F20D2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>- Должны соответствовать требованиям ISO и ANSI для шифрования PIN-кода, управления ключами и MAC (</w:t>
                  </w:r>
                  <w:proofErr w:type="spellStart"/>
                  <w:r w:rsidRPr="002F20D2">
                    <w:rPr>
                      <w:color w:val="000000"/>
                      <w:sz w:val="20"/>
                      <w:szCs w:val="20"/>
                    </w:rPr>
                    <w:t>MessageAuthentiticationCode</w:t>
                  </w:r>
                  <w:proofErr w:type="spellEnd"/>
                  <w:r w:rsidRPr="002F20D2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  <w:p w:rsidR="008E779D" w:rsidRPr="002F20D2" w:rsidRDefault="008E779D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>- Загрузка ключей должна позволять выбирать ре</w:t>
                  </w:r>
                  <w:r w:rsidR="00DC01D3" w:rsidRPr="002F20D2">
                    <w:rPr>
                      <w:color w:val="000000"/>
                      <w:sz w:val="20"/>
                      <w:szCs w:val="20"/>
                    </w:rPr>
                    <w:t xml:space="preserve">жим </w:t>
                  </w:r>
                  <w:proofErr w:type="spellStart"/>
                  <w:r w:rsidR="00DC01D3" w:rsidRPr="002F20D2">
                    <w:rPr>
                      <w:color w:val="000000"/>
                      <w:sz w:val="20"/>
                      <w:szCs w:val="20"/>
                    </w:rPr>
                    <w:t>Master</w:t>
                  </w:r>
                  <w:proofErr w:type="spellEnd"/>
                  <w:r w:rsidR="00DC01D3" w:rsidRPr="002F20D2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="00DC01D3" w:rsidRPr="002F20D2">
                    <w:rPr>
                      <w:color w:val="000000"/>
                      <w:sz w:val="20"/>
                      <w:szCs w:val="20"/>
                    </w:rPr>
                    <w:t>SessionKey</w:t>
                  </w:r>
                  <w:proofErr w:type="spellEnd"/>
                  <w:r w:rsidR="00DC01D3" w:rsidRPr="002F20D2">
                    <w:rPr>
                      <w:color w:val="000000"/>
                      <w:sz w:val="20"/>
                      <w:szCs w:val="20"/>
                    </w:rPr>
                    <w:t xml:space="preserve"> или DUKPT</w:t>
                  </w:r>
                </w:p>
                <w:p w:rsidR="00DC01D3" w:rsidRPr="002F20D2" w:rsidRDefault="00DC01D3" w:rsidP="008E779D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- Оборудование должно поддерживать протокол обмена EFTPOS </w:t>
                  </w:r>
                  <w:proofErr w:type="spellStart"/>
                  <w:r w:rsidRPr="002F20D2">
                    <w:rPr>
                      <w:color w:val="000000"/>
                      <w:sz w:val="20"/>
                      <w:szCs w:val="20"/>
                    </w:rPr>
                    <w:t>Application</w:t>
                  </w:r>
                  <w:proofErr w:type="spellEnd"/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20D2">
                    <w:rPr>
                      <w:color w:val="000000"/>
                      <w:sz w:val="20"/>
                      <w:szCs w:val="20"/>
                    </w:rPr>
                    <w:t>Protocol</w:t>
                  </w:r>
                  <w:proofErr w:type="spellEnd"/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между кассовым </w:t>
                  </w:r>
                  <w:proofErr w:type="gramStart"/>
                  <w:r w:rsidRPr="002F20D2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и EFTPOS терминалом</w:t>
                  </w:r>
                </w:p>
                <w:p w:rsidR="00DC01D3" w:rsidRPr="002F20D2" w:rsidRDefault="00DC01D3" w:rsidP="00DC01D3">
                  <w:pPr>
                    <w:spacing w:line="240" w:lineRule="auto"/>
                    <w:ind w:firstLine="33"/>
                    <w:rPr>
                      <w:color w:val="000000"/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- Программный интерфейс взаимодействия должен быть реализован аналогично взаимодействию с библиотекой, используемой в модели </w:t>
                  </w:r>
                  <w:proofErr w:type="spellStart"/>
                  <w:r w:rsidRPr="002F20D2">
                    <w:rPr>
                      <w:color w:val="000000"/>
                      <w:sz w:val="20"/>
                      <w:szCs w:val="20"/>
                    </w:rPr>
                    <w:t>Ingenico</w:t>
                  </w:r>
                  <w:proofErr w:type="spellEnd"/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IPP320 (ucs_ms.dll)</w:t>
                  </w:r>
                </w:p>
                <w:p w:rsidR="00DC01D3" w:rsidRPr="002F20D2" w:rsidRDefault="00DC01D3" w:rsidP="00D553A0">
                  <w:pPr>
                    <w:spacing w:line="240" w:lineRule="auto"/>
                    <w:ind w:firstLine="33"/>
                    <w:rPr>
                      <w:sz w:val="20"/>
                      <w:szCs w:val="20"/>
                    </w:rPr>
                  </w:pP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- Должна быть реализована обязательная поддержка работы </w:t>
                  </w:r>
                  <w:r w:rsidR="00D553A0" w:rsidRPr="002F20D2">
                    <w:rPr>
                      <w:color w:val="000000"/>
                      <w:sz w:val="20"/>
                      <w:szCs w:val="20"/>
                    </w:rPr>
                    <w:t>оборудования</w:t>
                  </w:r>
                  <w:r w:rsidRPr="002F20D2">
                    <w:rPr>
                      <w:color w:val="000000"/>
                      <w:sz w:val="20"/>
                      <w:szCs w:val="20"/>
                    </w:rPr>
                    <w:t xml:space="preserve"> через интерфейсы USB и TCP/IP</w:t>
                  </w:r>
                </w:p>
              </w:tc>
            </w:tr>
          </w:tbl>
          <w:p w:rsidR="00496E1F" w:rsidRDefault="00496E1F" w:rsidP="00E675D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</w:p>
          <w:p w:rsidR="00E675DD" w:rsidRPr="00A847ED" w:rsidRDefault="00E675DD" w:rsidP="00E675D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2. Предустановленное программное обеспечение должно быть русифицировано (если применимо).</w:t>
            </w:r>
          </w:p>
          <w:p w:rsidR="00E675DD" w:rsidRPr="00A847ED" w:rsidRDefault="00E675DD" w:rsidP="00E675D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3. Должна быть обеспечена лицензионная чистота предустановленного программного обеспечения и его частей в соответствии с требованиями Гражданского кодекса Российской Федерации.</w:t>
            </w:r>
          </w:p>
          <w:p w:rsidR="00E675DD" w:rsidRPr="000B716B" w:rsidRDefault="00E675DD" w:rsidP="00E675DD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4. Предоставляемое оборудование должно принадлежать Исполнителю на праве собственности или ином законном основании, быть свободным от прав третьих лиц, не являться предметом спора, не находиться в залоге, под арестом или иным обременением.</w:t>
            </w:r>
          </w:p>
        </w:tc>
      </w:tr>
      <w:tr w:rsidR="008E467B" w:rsidRPr="00983FA2" w:rsidTr="00496E1F">
        <w:tc>
          <w:tcPr>
            <w:tcW w:w="2010" w:type="dxa"/>
          </w:tcPr>
          <w:p w:rsidR="008E467B" w:rsidRPr="000B716B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7</w:t>
            </w:r>
            <w:r w:rsidR="008E467B" w:rsidRPr="000B716B">
              <w:rPr>
                <w:bCs w:val="0"/>
                <w:snapToGrid w:val="0"/>
                <w:sz w:val="20"/>
                <w:szCs w:val="20"/>
                <w:lang w:eastAsia="ru-RU"/>
              </w:rPr>
              <w:t>.  Требования к гарантии качества</w:t>
            </w:r>
          </w:p>
        </w:tc>
        <w:tc>
          <w:tcPr>
            <w:tcW w:w="7453" w:type="dxa"/>
          </w:tcPr>
          <w:p w:rsidR="008E467B" w:rsidRPr="000B716B" w:rsidRDefault="008E467B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0B716B">
              <w:rPr>
                <w:bCs w:val="0"/>
                <w:snapToGrid w:val="0"/>
                <w:sz w:val="20"/>
                <w:szCs w:val="20"/>
                <w:lang w:eastAsia="ru-RU"/>
              </w:rPr>
              <w:t>В соответствии с обязательствами, предъявляемыми законодательством РФ к данным видам услуг.</w:t>
            </w:r>
          </w:p>
        </w:tc>
      </w:tr>
      <w:tr w:rsidR="008E467B" w:rsidRPr="00983FA2" w:rsidTr="00496E1F">
        <w:tc>
          <w:tcPr>
            <w:tcW w:w="2010" w:type="dxa"/>
          </w:tcPr>
          <w:p w:rsidR="008E467B" w:rsidRPr="00832E91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8</w:t>
            </w:r>
            <w:r w:rsidR="008E467B" w:rsidRPr="00832E91">
              <w:rPr>
                <w:bCs w:val="0"/>
                <w:snapToGrid w:val="0"/>
                <w:sz w:val="20"/>
                <w:szCs w:val="20"/>
                <w:lang w:eastAsia="ru-RU"/>
              </w:rPr>
              <w:t>. Требования к поддержанию оборудования в исправном состоянии</w:t>
            </w:r>
          </w:p>
        </w:tc>
        <w:tc>
          <w:tcPr>
            <w:tcW w:w="7453" w:type="dxa"/>
          </w:tcPr>
          <w:p w:rsidR="008E467B" w:rsidRPr="00832E91" w:rsidRDefault="008E467B" w:rsidP="000A02F8">
            <w:pPr>
              <w:suppressAutoHyphens w:val="0"/>
              <w:spacing w:line="276" w:lineRule="auto"/>
              <w:ind w:firstLine="0"/>
              <w:rPr>
                <w:sz w:val="20"/>
                <w:szCs w:val="20"/>
              </w:rPr>
            </w:pPr>
            <w:r w:rsidRPr="00832E91">
              <w:rPr>
                <w:sz w:val="20"/>
                <w:szCs w:val="20"/>
              </w:rPr>
              <w:t xml:space="preserve">В случае выхода из строя электронного терминала не по вине Заказчика, обеспечить Заказчика исправным оборудованием в срок, не превышающий </w:t>
            </w:r>
            <w:r w:rsidR="000A02F8" w:rsidRPr="00A847ED">
              <w:rPr>
                <w:sz w:val="20"/>
                <w:szCs w:val="20"/>
              </w:rPr>
              <w:t>1</w:t>
            </w:r>
            <w:r w:rsidRPr="00A847ED">
              <w:rPr>
                <w:sz w:val="20"/>
                <w:szCs w:val="20"/>
              </w:rPr>
              <w:t xml:space="preserve"> (</w:t>
            </w:r>
            <w:r w:rsidR="000A02F8" w:rsidRPr="00A847ED">
              <w:rPr>
                <w:sz w:val="20"/>
                <w:szCs w:val="20"/>
              </w:rPr>
              <w:t>один</w:t>
            </w:r>
            <w:r w:rsidRPr="00A847ED">
              <w:rPr>
                <w:sz w:val="20"/>
                <w:szCs w:val="20"/>
              </w:rPr>
              <w:t>) рабочи</w:t>
            </w:r>
            <w:r w:rsidR="000A02F8" w:rsidRPr="00A847ED">
              <w:rPr>
                <w:sz w:val="20"/>
                <w:szCs w:val="20"/>
              </w:rPr>
              <w:t>й</w:t>
            </w:r>
            <w:r w:rsidRPr="00832E91">
              <w:rPr>
                <w:sz w:val="20"/>
                <w:szCs w:val="20"/>
              </w:rPr>
              <w:t xml:space="preserve"> д</w:t>
            </w:r>
            <w:r w:rsidR="000A02F8">
              <w:rPr>
                <w:sz w:val="20"/>
                <w:szCs w:val="20"/>
              </w:rPr>
              <w:t>е</w:t>
            </w:r>
            <w:r w:rsidRPr="00832E91">
              <w:rPr>
                <w:sz w:val="20"/>
                <w:szCs w:val="20"/>
              </w:rPr>
              <w:t>н</w:t>
            </w:r>
            <w:r w:rsidR="000A02F8">
              <w:rPr>
                <w:sz w:val="20"/>
                <w:szCs w:val="20"/>
              </w:rPr>
              <w:t>ь</w:t>
            </w:r>
            <w:r w:rsidRPr="00832E91">
              <w:rPr>
                <w:sz w:val="20"/>
                <w:szCs w:val="20"/>
              </w:rPr>
              <w:t xml:space="preserve"> с момента обращения Заказчика.</w:t>
            </w:r>
          </w:p>
        </w:tc>
      </w:tr>
      <w:tr w:rsidR="008E467B" w:rsidRPr="00896BF0" w:rsidTr="00496E1F">
        <w:tc>
          <w:tcPr>
            <w:tcW w:w="2010" w:type="dxa"/>
          </w:tcPr>
          <w:p w:rsidR="008E467B" w:rsidRPr="00896BF0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9</w:t>
            </w:r>
            <w:r w:rsidR="008E467B" w:rsidRPr="00896BF0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. Срок действия договора на оказание услуг </w:t>
            </w:r>
          </w:p>
        </w:tc>
        <w:tc>
          <w:tcPr>
            <w:tcW w:w="7453" w:type="dxa"/>
          </w:tcPr>
          <w:p w:rsidR="008E467B" w:rsidRPr="00896BF0" w:rsidRDefault="008E467B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896BF0">
              <w:rPr>
                <w:sz w:val="20"/>
                <w:szCs w:val="20"/>
              </w:rPr>
              <w:t xml:space="preserve">12 месяцев. </w:t>
            </w:r>
          </w:p>
        </w:tc>
      </w:tr>
      <w:tr w:rsidR="008E467B" w:rsidRPr="00983FA2" w:rsidTr="00496E1F">
        <w:tc>
          <w:tcPr>
            <w:tcW w:w="2010" w:type="dxa"/>
          </w:tcPr>
          <w:p w:rsidR="008E467B" w:rsidRPr="005D5D62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10</w:t>
            </w:r>
            <w:r w:rsidR="008E467B" w:rsidRPr="005D5D62">
              <w:rPr>
                <w:bCs w:val="0"/>
                <w:snapToGrid w:val="0"/>
                <w:sz w:val="20"/>
                <w:szCs w:val="20"/>
                <w:lang w:eastAsia="ru-RU"/>
              </w:rPr>
              <w:t>. Место оказания услуг</w:t>
            </w:r>
          </w:p>
        </w:tc>
        <w:tc>
          <w:tcPr>
            <w:tcW w:w="7453" w:type="dxa"/>
          </w:tcPr>
          <w:p w:rsidR="008E467B" w:rsidRPr="005D5D62" w:rsidRDefault="008E467B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83578E">
              <w:rPr>
                <w:bCs w:val="0"/>
                <w:snapToGrid w:val="0"/>
                <w:sz w:val="20"/>
                <w:szCs w:val="20"/>
                <w:lang w:eastAsia="ru-RU"/>
              </w:rPr>
              <w:t>В местах расположения территориальных структурных подразделений Заказчика</w:t>
            </w:r>
          </w:p>
        </w:tc>
      </w:tr>
      <w:tr w:rsidR="008E467B" w:rsidRPr="007A337C" w:rsidTr="00496E1F">
        <w:tc>
          <w:tcPr>
            <w:tcW w:w="2010" w:type="dxa"/>
          </w:tcPr>
          <w:p w:rsidR="008E467B" w:rsidRPr="007A337C" w:rsidRDefault="00496E1F" w:rsidP="00496E1F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11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. </w:t>
            </w:r>
            <w:r>
              <w:rPr>
                <w:bCs w:val="0"/>
                <w:snapToGrid w:val="0"/>
                <w:sz w:val="20"/>
                <w:szCs w:val="20"/>
                <w:lang w:eastAsia="ru-RU"/>
              </w:rPr>
              <w:t>К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оличество и адреса территориальных структурных подразделений Заказчика, в 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>которых необходима организация предоставления услуги</w:t>
            </w:r>
          </w:p>
        </w:tc>
        <w:tc>
          <w:tcPr>
            <w:tcW w:w="7453" w:type="dxa"/>
          </w:tcPr>
          <w:p w:rsidR="008E467B" w:rsidRPr="007A337C" w:rsidRDefault="008E467B" w:rsidP="00D362C6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7A337C"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Pr="00832E91">
              <w:rPr>
                <w:bCs w:val="0"/>
                <w:snapToGrid w:val="0"/>
                <w:sz w:val="20"/>
                <w:szCs w:val="20"/>
                <w:lang w:eastAsia="ru-RU"/>
              </w:rPr>
              <w:t>12 (двенадцать) территориальных подразделений и не менее 17 (семнадцать) электронных терминалов: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г. Псков, пр-т Октябрьский, д. 27 (</w:t>
            </w:r>
            <w:r w:rsidR="00627592">
              <w:rPr>
                <w:bCs w:val="0"/>
                <w:snapToGrid w:val="0"/>
                <w:sz w:val="20"/>
                <w:szCs w:val="20"/>
                <w:lang w:eastAsia="ru-RU"/>
              </w:rPr>
              <w:t>4</w:t>
            </w: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терминала)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г. Великие Луки, ул. </w:t>
            </w:r>
            <w:proofErr w:type="gram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 д. 9 (3 терминала)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Гдов</w:t>
            </w:r>
            <w:proofErr w:type="spell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Поличенский</w:t>
            </w:r>
            <w:proofErr w:type="spell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 д.7 (1 терминал)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г. Опочка, ул. Красных командиров, д. 2 (2 терминала)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 xml:space="preserve">г. Печоры, ул. </w:t>
            </w:r>
            <w:proofErr w:type="gram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Юрьевская</w:t>
            </w:r>
            <w:proofErr w:type="gram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 д. 8А (1 терминал)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г. Себеж, ул. </w:t>
            </w:r>
            <w:proofErr w:type="gram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 д. 51А (1 терминал)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п. Струги Красные, ул. </w:t>
            </w:r>
            <w:proofErr w:type="gram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Крестьянская</w:t>
            </w:r>
            <w:proofErr w:type="gram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 д. 9 (1 терминал)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г. Невель, ул. Ленина, д.2 (1 терминал)</w:t>
            </w:r>
          </w:p>
          <w:p w:rsidR="008E467B" w:rsidRPr="00682F43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Дно</w:t>
            </w:r>
            <w:proofErr w:type="gramStart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,у</w:t>
            </w:r>
            <w:proofErr w:type="gram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л</w:t>
            </w:r>
            <w:proofErr w:type="spellEnd"/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. Володарского, д.7 (1 терминал)</w:t>
            </w:r>
          </w:p>
          <w:p w:rsidR="008E467B" w:rsidRPr="00BF00F5" w:rsidRDefault="008E467B" w:rsidP="008E467B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682F43">
              <w:rPr>
                <w:bCs w:val="0"/>
                <w:snapToGrid w:val="0"/>
                <w:sz w:val="20"/>
                <w:szCs w:val="20"/>
                <w:lang w:eastAsia="ru-RU"/>
              </w:rPr>
              <w:t>п. Пушкинские</w:t>
            </w:r>
            <w:r w:rsidRPr="00832E9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Горы, ул. Ленина, д.18 (1 терминал)</w:t>
            </w:r>
          </w:p>
        </w:tc>
      </w:tr>
      <w:tr w:rsidR="008E467B" w:rsidRPr="009C21C1" w:rsidTr="00496E1F">
        <w:tc>
          <w:tcPr>
            <w:tcW w:w="2010" w:type="dxa"/>
          </w:tcPr>
          <w:p w:rsidR="008E467B" w:rsidRPr="007A337C" w:rsidRDefault="00496E1F" w:rsidP="009C21C1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lastRenderedPageBreak/>
              <w:t>12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. Платежные системы, карты которых принимаются </w:t>
            </w:r>
            <w:r w:rsidR="009C21C1">
              <w:rPr>
                <w:bCs w:val="0"/>
                <w:snapToGrid w:val="0"/>
                <w:sz w:val="20"/>
                <w:szCs w:val="20"/>
                <w:lang w:eastAsia="ru-RU"/>
              </w:rPr>
              <w:t>Заказчиком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в оплату</w:t>
            </w:r>
          </w:p>
        </w:tc>
        <w:tc>
          <w:tcPr>
            <w:tcW w:w="7453" w:type="dxa"/>
          </w:tcPr>
          <w:p w:rsidR="008A5AA5" w:rsidRPr="008A5AA5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val="en-US" w:eastAsia="ru-RU"/>
              </w:rPr>
            </w:pP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>•</w:t>
            </w: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ab/>
              <w:t>MasterCard</w:t>
            </w:r>
          </w:p>
          <w:p w:rsidR="008A5AA5" w:rsidRPr="008A5AA5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val="en-US" w:eastAsia="ru-RU"/>
              </w:rPr>
            </w:pP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>•</w:t>
            </w: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ab/>
              <w:t>MasterCard Electronic</w:t>
            </w:r>
          </w:p>
          <w:p w:rsidR="008A5AA5" w:rsidRPr="008A5AA5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val="en-US" w:eastAsia="ru-RU"/>
              </w:rPr>
            </w:pP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>•</w:t>
            </w: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ab/>
              <w:t>Maestro</w:t>
            </w:r>
          </w:p>
          <w:p w:rsidR="008A5AA5" w:rsidRPr="008A5AA5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val="en-US" w:eastAsia="ru-RU"/>
              </w:rPr>
            </w:pP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>•</w:t>
            </w: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ab/>
              <w:t>Visa</w:t>
            </w:r>
          </w:p>
          <w:p w:rsidR="008A5AA5" w:rsidRPr="008A5AA5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val="en-US" w:eastAsia="ru-RU"/>
              </w:rPr>
            </w:pP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>•</w:t>
            </w:r>
            <w:r w:rsidRPr="008A5AA5">
              <w:rPr>
                <w:bCs w:val="0"/>
                <w:snapToGrid w:val="0"/>
                <w:sz w:val="20"/>
                <w:szCs w:val="20"/>
                <w:lang w:val="en-US" w:eastAsia="ru-RU"/>
              </w:rPr>
              <w:tab/>
              <w:t>Visa Electron</w:t>
            </w:r>
          </w:p>
          <w:p w:rsidR="008A5AA5" w:rsidRPr="004D71C0" w:rsidRDefault="008A5AA5" w:rsidP="00496E1F">
            <w:pPr>
              <w:suppressAutoHyphens w:val="0"/>
              <w:spacing w:line="276" w:lineRule="auto"/>
              <w:ind w:firstLine="434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>•</w:t>
            </w:r>
            <w:r w:rsidRPr="004D71C0">
              <w:rPr>
                <w:bCs w:val="0"/>
                <w:snapToGrid w:val="0"/>
                <w:sz w:val="20"/>
                <w:szCs w:val="20"/>
                <w:lang w:eastAsia="ru-RU"/>
              </w:rPr>
              <w:tab/>
              <w:t>МИР</w:t>
            </w:r>
          </w:p>
          <w:p w:rsidR="008E467B" w:rsidRPr="009C21C1" w:rsidRDefault="008E467B" w:rsidP="009C21C1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Обязательная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возможность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приема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электронными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терминалами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платежей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по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бесконтактным</w:t>
            </w:r>
            <w:r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105CD">
              <w:rPr>
                <w:bCs w:val="0"/>
                <w:snapToGrid w:val="0"/>
                <w:sz w:val="20"/>
                <w:szCs w:val="20"/>
                <w:lang w:eastAsia="ru-RU"/>
              </w:rPr>
              <w:t>технологиям</w:t>
            </w:r>
            <w:r w:rsidR="009C21C1" w:rsidRPr="009C21C1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, </w:t>
            </w:r>
            <w:r w:rsidR="009C21C1">
              <w:rPr>
                <w:bCs w:val="0"/>
                <w:snapToGrid w:val="0"/>
                <w:sz w:val="20"/>
                <w:szCs w:val="20"/>
                <w:lang w:eastAsia="ru-RU"/>
              </w:rPr>
              <w:t>поддерживаемым соответствующими платежными системами</w:t>
            </w:r>
          </w:p>
        </w:tc>
      </w:tr>
      <w:tr w:rsidR="008E467B" w:rsidRPr="007A337C" w:rsidTr="00496E1F">
        <w:trPr>
          <w:trHeight w:val="635"/>
        </w:trPr>
        <w:tc>
          <w:tcPr>
            <w:tcW w:w="2010" w:type="dxa"/>
          </w:tcPr>
          <w:p w:rsidR="008E467B" w:rsidRPr="007A337C" w:rsidRDefault="00496E1F" w:rsidP="00D362C6">
            <w:pPr>
              <w:tabs>
                <w:tab w:val="num" w:pos="720"/>
              </w:tabs>
              <w:suppressAutoHyphens w:val="0"/>
              <w:spacing w:line="276" w:lineRule="auto"/>
              <w:ind w:firstLine="0"/>
              <w:jc w:val="left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>
              <w:rPr>
                <w:bCs w:val="0"/>
                <w:snapToGrid w:val="0"/>
                <w:sz w:val="20"/>
                <w:szCs w:val="20"/>
                <w:lang w:eastAsia="ru-RU"/>
              </w:rPr>
              <w:t>13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. </w:t>
            </w:r>
            <w:r w:rsidR="008E467B">
              <w:rPr>
                <w:bCs w:val="0"/>
                <w:snapToGrid w:val="0"/>
                <w:sz w:val="20"/>
                <w:szCs w:val="20"/>
                <w:lang w:eastAsia="ru-RU"/>
              </w:rPr>
              <w:t>Г</w:t>
            </w:r>
            <w:r w:rsidR="008E467B"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>рафик перечисления принятых платежей на расчетные счета Заказчика</w:t>
            </w:r>
          </w:p>
        </w:tc>
        <w:tc>
          <w:tcPr>
            <w:tcW w:w="7453" w:type="dxa"/>
          </w:tcPr>
          <w:p w:rsidR="008E467B" w:rsidRPr="007A337C" w:rsidRDefault="008E467B" w:rsidP="00CC08E9">
            <w:pPr>
              <w:suppressAutoHyphens w:val="0"/>
              <w:spacing w:line="276" w:lineRule="auto"/>
              <w:ind w:firstLine="0"/>
              <w:rPr>
                <w:bCs w:val="0"/>
                <w:snapToGrid w:val="0"/>
                <w:sz w:val="20"/>
                <w:szCs w:val="20"/>
                <w:lang w:eastAsia="ru-RU"/>
              </w:rPr>
            </w:pPr>
            <w:r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Не 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позднее </w:t>
            </w:r>
            <w:r w:rsidR="00CC08E9"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>2 (двух)</w:t>
            </w:r>
            <w:r w:rsidRPr="00A847ED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банковских</w:t>
            </w:r>
            <w:r w:rsidRPr="007A337C">
              <w:rPr>
                <w:bCs w:val="0"/>
                <w:snapToGrid w:val="0"/>
                <w:sz w:val="20"/>
                <w:szCs w:val="20"/>
                <w:lang w:eastAsia="ru-RU"/>
              </w:rPr>
              <w:t xml:space="preserve"> дней, следующих за днем приема платежей.</w:t>
            </w:r>
          </w:p>
        </w:tc>
      </w:tr>
    </w:tbl>
    <w:p w:rsidR="00E33E97" w:rsidRDefault="00E33E97"/>
    <w:sectPr w:rsidR="00E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81B"/>
    <w:multiLevelType w:val="hybridMultilevel"/>
    <w:tmpl w:val="05E0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23BD"/>
    <w:multiLevelType w:val="hybridMultilevel"/>
    <w:tmpl w:val="F39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7B"/>
    <w:rsid w:val="000A02F8"/>
    <w:rsid w:val="000E102D"/>
    <w:rsid w:val="001964CE"/>
    <w:rsid w:val="002308FD"/>
    <w:rsid w:val="002B6FE7"/>
    <w:rsid w:val="002F20D2"/>
    <w:rsid w:val="003665EE"/>
    <w:rsid w:val="003C5C61"/>
    <w:rsid w:val="00496E1F"/>
    <w:rsid w:val="004D71C0"/>
    <w:rsid w:val="004F44E7"/>
    <w:rsid w:val="005D1164"/>
    <w:rsid w:val="00627592"/>
    <w:rsid w:val="006762FF"/>
    <w:rsid w:val="00682F43"/>
    <w:rsid w:val="007000E2"/>
    <w:rsid w:val="007556C1"/>
    <w:rsid w:val="007E49A9"/>
    <w:rsid w:val="008A5AA5"/>
    <w:rsid w:val="008E467B"/>
    <w:rsid w:val="008E779D"/>
    <w:rsid w:val="0099631B"/>
    <w:rsid w:val="009C21C1"/>
    <w:rsid w:val="00A847ED"/>
    <w:rsid w:val="00AE745D"/>
    <w:rsid w:val="00C15D7F"/>
    <w:rsid w:val="00CA3137"/>
    <w:rsid w:val="00CB2DC4"/>
    <w:rsid w:val="00CC08E9"/>
    <w:rsid w:val="00D553A0"/>
    <w:rsid w:val="00DC01D3"/>
    <w:rsid w:val="00E33E97"/>
    <w:rsid w:val="00E37030"/>
    <w:rsid w:val="00E675DD"/>
    <w:rsid w:val="00F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7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7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op.nikolaeva</dc:creator>
  <cp:lastModifiedBy>Якутович Андрей Викторович</cp:lastModifiedBy>
  <cp:revision>19</cp:revision>
  <dcterms:created xsi:type="dcterms:W3CDTF">2020-02-10T05:58:00Z</dcterms:created>
  <dcterms:modified xsi:type="dcterms:W3CDTF">2021-01-13T13:49:00Z</dcterms:modified>
</cp:coreProperties>
</file>