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C2" w:rsidRPr="000324D7" w:rsidRDefault="00C85EC2" w:rsidP="000324D7">
      <w:pPr>
        <w:ind w:left="567" w:firstLine="0"/>
        <w:jc w:val="center"/>
        <w:rPr>
          <w:b/>
        </w:rPr>
      </w:pPr>
      <w:r w:rsidRPr="000324D7">
        <w:rPr>
          <w:b/>
        </w:rPr>
        <w:t>ТЕХНИЧЕСКОЕ ЗАДАНИЕ</w:t>
      </w:r>
    </w:p>
    <w:p w:rsidR="00C85EC2" w:rsidRPr="00134674" w:rsidRDefault="00C85EC2" w:rsidP="000324D7">
      <w:pPr>
        <w:spacing w:line="240" w:lineRule="auto"/>
        <w:ind w:firstLine="709"/>
        <w:jc w:val="center"/>
      </w:pPr>
      <w:r w:rsidRPr="00134674">
        <w:t xml:space="preserve">на </w:t>
      </w:r>
      <w:r w:rsidR="00652A1F" w:rsidRPr="00134674">
        <w:t>оказание ус</w:t>
      </w:r>
      <w:r w:rsidR="00301385" w:rsidRPr="00134674">
        <w:t xml:space="preserve">луг </w:t>
      </w:r>
      <w:r w:rsidR="00D27A48">
        <w:t>страхования</w:t>
      </w:r>
      <w:r w:rsidR="00301385" w:rsidRPr="00134674">
        <w:t xml:space="preserve"> от несчастных случаев и болезней</w:t>
      </w:r>
    </w:p>
    <w:p w:rsidR="00C85EC2" w:rsidRPr="00134674" w:rsidRDefault="00C85EC2" w:rsidP="000324D7">
      <w:pPr>
        <w:spacing w:line="240" w:lineRule="auto"/>
        <w:ind w:firstLine="709"/>
      </w:pPr>
    </w:p>
    <w:p w:rsidR="00C85EC2" w:rsidRPr="00134674" w:rsidRDefault="00C85EC2" w:rsidP="000324D7">
      <w:pPr>
        <w:spacing w:line="240" w:lineRule="auto"/>
        <w:ind w:firstLine="709"/>
      </w:pPr>
      <w:r w:rsidRPr="00134674">
        <w:t xml:space="preserve">Общие сведения </w:t>
      </w:r>
      <w:r w:rsidR="00654E37" w:rsidRPr="00134674">
        <w:t>об объекте закупки</w:t>
      </w:r>
      <w:r w:rsidRPr="00134674">
        <w:t>.</w:t>
      </w:r>
    </w:p>
    <w:p w:rsidR="00C85EC2" w:rsidRPr="00134674" w:rsidRDefault="00C85EC2" w:rsidP="000324D7">
      <w:pPr>
        <w:spacing w:line="240" w:lineRule="auto"/>
        <w:ind w:firstLine="709"/>
      </w:pPr>
      <w:r w:rsidRPr="00134674">
        <w:t xml:space="preserve">1.1. </w:t>
      </w:r>
      <w:r w:rsidR="00654E37" w:rsidRPr="00134674">
        <w:t>Объект закупки</w:t>
      </w:r>
      <w:r w:rsidRPr="00134674">
        <w:t xml:space="preserve">: </w:t>
      </w:r>
      <w:r w:rsidR="00652A1F" w:rsidRPr="00134674">
        <w:t xml:space="preserve">оказание услуг </w:t>
      </w:r>
      <w:r w:rsidR="00D27A48">
        <w:t>страхования</w:t>
      </w:r>
      <w:r w:rsidR="00652A1F" w:rsidRPr="00134674">
        <w:t xml:space="preserve"> от </w:t>
      </w:r>
      <w:r w:rsidR="00301385" w:rsidRPr="00134674">
        <w:t>несчастных случаев и болезней</w:t>
      </w:r>
      <w:r w:rsidRPr="00134674">
        <w:t>.</w:t>
      </w:r>
    </w:p>
    <w:p w:rsidR="00C85EC2" w:rsidRPr="00134674" w:rsidRDefault="00C85EC2" w:rsidP="000324D7">
      <w:pPr>
        <w:spacing w:line="240" w:lineRule="auto"/>
        <w:ind w:firstLine="709"/>
      </w:pPr>
      <w:r w:rsidRPr="00134674">
        <w:t>1.2. Наименование лота</w:t>
      </w:r>
      <w:r w:rsidR="009D1B5A" w:rsidRPr="00134674">
        <w:t>:</w:t>
      </w:r>
      <w:r w:rsidRPr="00134674">
        <w:t xml:space="preserve"> </w:t>
      </w:r>
      <w:r w:rsidR="00652A1F" w:rsidRPr="00134674">
        <w:t xml:space="preserve">оказание услуг </w:t>
      </w:r>
      <w:r w:rsidR="00D27A48">
        <w:t>страхования</w:t>
      </w:r>
      <w:r w:rsidR="00652A1F" w:rsidRPr="00134674">
        <w:t xml:space="preserve"> от несчастных случаев</w:t>
      </w:r>
      <w:r w:rsidR="00301385" w:rsidRPr="00134674">
        <w:t xml:space="preserve"> и болезней</w:t>
      </w:r>
      <w:r w:rsidRPr="00134674">
        <w:t>.</w:t>
      </w:r>
    </w:p>
    <w:p w:rsidR="00C85EC2" w:rsidRPr="00134674" w:rsidRDefault="00C85EC2" w:rsidP="000324D7">
      <w:pPr>
        <w:spacing w:line="240" w:lineRule="auto"/>
        <w:ind w:firstLine="709"/>
      </w:pPr>
      <w:r w:rsidRPr="00134674">
        <w:t xml:space="preserve">1.3. </w:t>
      </w:r>
      <w:r w:rsidR="00654E37" w:rsidRPr="00134674">
        <w:t>Заказчик</w:t>
      </w:r>
      <w:r w:rsidR="008169D3" w:rsidRPr="00134674">
        <w:t xml:space="preserve"> услуги</w:t>
      </w:r>
      <w:r w:rsidRPr="00134674">
        <w:t xml:space="preserve">: </w:t>
      </w:r>
      <w:proofErr w:type="gramStart"/>
      <w:r w:rsidRPr="00134674">
        <w:t xml:space="preserve">АО «Псковэнергосбыт», юридический адрес: </w:t>
      </w:r>
      <w:r w:rsidR="00301385" w:rsidRPr="00134674">
        <w:t xml:space="preserve">ул. Калинина, д. 17, г. Псков, </w:t>
      </w:r>
      <w:r w:rsidRPr="00134674">
        <w:t>180000</w:t>
      </w:r>
      <w:r w:rsidR="00301385" w:rsidRPr="00134674">
        <w:t>.</w:t>
      </w:r>
      <w:proofErr w:type="gramEnd"/>
    </w:p>
    <w:p w:rsidR="00C85EC2" w:rsidRPr="00134674" w:rsidRDefault="00C85EC2" w:rsidP="000324D7">
      <w:pPr>
        <w:spacing w:line="240" w:lineRule="auto"/>
        <w:ind w:firstLine="709"/>
      </w:pPr>
      <w:r w:rsidRPr="00134674">
        <w:t xml:space="preserve">1.4. </w:t>
      </w:r>
      <w:r w:rsidR="008169D3" w:rsidRPr="00134674">
        <w:t>Получатель услуги</w:t>
      </w:r>
      <w:r w:rsidRPr="00134674">
        <w:t xml:space="preserve">: </w:t>
      </w:r>
      <w:proofErr w:type="gramStart"/>
      <w:r w:rsidRPr="00134674">
        <w:t xml:space="preserve">АО «Псковэнергосбыт», юридический адрес: </w:t>
      </w:r>
      <w:r w:rsidR="00301385" w:rsidRPr="00134674">
        <w:t>ул. Калинина, д. 17, г. Псков, 180000.</w:t>
      </w:r>
      <w:proofErr w:type="gramEnd"/>
    </w:p>
    <w:p w:rsidR="00C85EC2" w:rsidRPr="00134674" w:rsidRDefault="00C85EC2" w:rsidP="000324D7">
      <w:pPr>
        <w:spacing w:line="240" w:lineRule="auto"/>
        <w:ind w:firstLine="709"/>
      </w:pPr>
      <w:r w:rsidRPr="00134674">
        <w:t xml:space="preserve">1.5. </w:t>
      </w:r>
      <w:r w:rsidR="00B2464D" w:rsidRPr="00134674">
        <w:t>Срок оказания услуг</w:t>
      </w:r>
      <w:r w:rsidRPr="00134674">
        <w:t xml:space="preserve">: </w:t>
      </w:r>
      <w:r w:rsidR="008169D3" w:rsidRPr="00134674">
        <w:t>04</w:t>
      </w:r>
      <w:r w:rsidR="00A81480" w:rsidRPr="00134674">
        <w:t xml:space="preserve"> </w:t>
      </w:r>
      <w:r w:rsidR="00652A1F" w:rsidRPr="00134674">
        <w:t>июн</w:t>
      </w:r>
      <w:r w:rsidR="00A81480" w:rsidRPr="00134674">
        <w:t>я</w:t>
      </w:r>
      <w:r w:rsidRPr="00134674">
        <w:t xml:space="preserve">  2021г. – </w:t>
      </w:r>
      <w:r w:rsidR="008169D3" w:rsidRPr="00134674">
        <w:t>03</w:t>
      </w:r>
      <w:r w:rsidR="00A81480" w:rsidRPr="00134674">
        <w:t xml:space="preserve"> </w:t>
      </w:r>
      <w:r w:rsidR="008169D3" w:rsidRPr="00134674">
        <w:t>июня</w:t>
      </w:r>
      <w:r w:rsidRPr="00134674">
        <w:t xml:space="preserve"> 2022 г.</w:t>
      </w:r>
    </w:p>
    <w:p w:rsidR="00C85EC2" w:rsidRPr="00134674" w:rsidRDefault="00C85EC2" w:rsidP="000324D7">
      <w:pPr>
        <w:spacing w:line="240" w:lineRule="auto"/>
        <w:ind w:firstLine="709"/>
      </w:pPr>
      <w:r w:rsidRPr="00134674">
        <w:t xml:space="preserve">2. Наименование, </w:t>
      </w:r>
      <w:r w:rsidR="008169D3" w:rsidRPr="00134674">
        <w:t>вид</w:t>
      </w:r>
      <w:r w:rsidRPr="00134674">
        <w:t xml:space="preserve"> и объемы  требуемой </w:t>
      </w:r>
      <w:r w:rsidR="008169D3" w:rsidRPr="00134674">
        <w:t>Услуги</w:t>
      </w:r>
      <w:r w:rsidRPr="00134674">
        <w:t>.</w:t>
      </w:r>
    </w:p>
    <w:p w:rsidR="00C85EC2" w:rsidRPr="00134674" w:rsidRDefault="00C85EC2" w:rsidP="000324D7">
      <w:pPr>
        <w:spacing w:line="240" w:lineRule="auto"/>
        <w:ind w:firstLine="709"/>
      </w:pPr>
      <w:r w:rsidRPr="00134674">
        <w:t xml:space="preserve">Наименование, </w:t>
      </w:r>
      <w:r w:rsidR="008169D3" w:rsidRPr="00134674">
        <w:t>вид</w:t>
      </w:r>
      <w:r w:rsidRPr="00134674">
        <w:t xml:space="preserve"> и объемы требуемой </w:t>
      </w:r>
      <w:r w:rsidR="008169D3" w:rsidRPr="00134674">
        <w:t>услуги</w:t>
      </w:r>
      <w:r w:rsidRPr="00134674">
        <w:t xml:space="preserve"> в соответствии с таблицей 1.</w:t>
      </w:r>
    </w:p>
    <w:p w:rsidR="001A5663" w:rsidRPr="000324D7" w:rsidRDefault="001A5663" w:rsidP="000324D7">
      <w:pPr>
        <w:ind w:left="567" w:firstLine="0"/>
        <w:rPr>
          <w:highlight w:val="yellow"/>
        </w:rPr>
      </w:pPr>
    </w:p>
    <w:p w:rsidR="001A5663" w:rsidRPr="00D7534C" w:rsidRDefault="001A5663" w:rsidP="000324D7">
      <w:pPr>
        <w:ind w:left="567" w:firstLine="0"/>
        <w:jc w:val="center"/>
        <w:rPr>
          <w:b/>
          <w:highlight w:val="yellow"/>
        </w:rPr>
      </w:pPr>
      <w:r w:rsidRPr="00D7534C">
        <w:rPr>
          <w:b/>
        </w:rPr>
        <w:t>Добровольное страхование от несчастных случаев и болезней</w:t>
      </w:r>
    </w:p>
    <w:tbl>
      <w:tblPr>
        <w:tblpPr w:leftFromText="180" w:rightFromText="180" w:vertAnchor="text" w:horzAnchor="margin" w:tblpY="178"/>
        <w:tblW w:w="10490" w:type="dxa"/>
        <w:tblLayout w:type="fixed"/>
        <w:tblLook w:val="04A0" w:firstRow="1" w:lastRow="0" w:firstColumn="1" w:lastColumn="0" w:noHBand="0" w:noVBand="1"/>
      </w:tblPr>
      <w:tblGrid>
        <w:gridCol w:w="1632"/>
        <w:gridCol w:w="1482"/>
        <w:gridCol w:w="1780"/>
        <w:gridCol w:w="1186"/>
        <w:gridCol w:w="1187"/>
        <w:gridCol w:w="1631"/>
        <w:gridCol w:w="1592"/>
      </w:tblGrid>
      <w:tr w:rsidR="001A5663" w:rsidRPr="000324D7" w:rsidTr="001A5663">
        <w:trPr>
          <w:trHeight w:val="897"/>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Группы работников</w:t>
            </w:r>
          </w:p>
        </w:tc>
        <w:tc>
          <w:tcPr>
            <w:tcW w:w="1482" w:type="dxa"/>
            <w:vMerge w:val="restart"/>
            <w:tcBorders>
              <w:top w:val="single" w:sz="4" w:space="0" w:color="auto"/>
              <w:left w:val="single" w:sz="4" w:space="0" w:color="auto"/>
              <w:bottom w:val="single" w:sz="4" w:space="0" w:color="auto"/>
              <w:right w:val="single" w:sz="4" w:space="0" w:color="auto"/>
            </w:tcBorders>
            <w:vAlign w:val="center"/>
            <w:hideMark/>
          </w:tcPr>
          <w:p w:rsidR="001A5663" w:rsidRPr="000324D7" w:rsidRDefault="00075C22" w:rsidP="00075C22">
            <w:pPr>
              <w:ind w:firstLine="0"/>
              <w:jc w:val="center"/>
            </w:pPr>
            <w:r>
              <w:t>Планируемая ч</w:t>
            </w:r>
            <w:r w:rsidR="001A5663" w:rsidRPr="000324D7">
              <w:t>исленность работников по группам на 2021 год, чел.</w:t>
            </w:r>
          </w:p>
        </w:tc>
        <w:tc>
          <w:tcPr>
            <w:tcW w:w="1780" w:type="dxa"/>
            <w:vMerge w:val="restart"/>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Норматив по объему страхования на планируемый период, %</w:t>
            </w:r>
          </w:p>
        </w:tc>
        <w:tc>
          <w:tcPr>
            <w:tcW w:w="2373" w:type="dxa"/>
            <w:gridSpan w:val="2"/>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Объем страхования на планируемый период</w:t>
            </w:r>
          </w:p>
        </w:tc>
        <w:tc>
          <w:tcPr>
            <w:tcW w:w="1631" w:type="dxa"/>
            <w:vMerge w:val="restart"/>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Страховая сумма, руб.</w:t>
            </w:r>
          </w:p>
        </w:tc>
        <w:tc>
          <w:tcPr>
            <w:tcW w:w="1592" w:type="dxa"/>
            <w:vMerge w:val="restart"/>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Дата заключения договора страхования</w:t>
            </w:r>
          </w:p>
        </w:tc>
      </w:tr>
      <w:tr w:rsidR="001A5663" w:rsidRPr="000324D7" w:rsidTr="001A5663">
        <w:trPr>
          <w:trHeight w:val="156"/>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left="567" w:firstLine="0"/>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left="567" w:firstLine="0"/>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left="567" w:firstLine="0"/>
            </w:pPr>
          </w:p>
        </w:tc>
        <w:tc>
          <w:tcPr>
            <w:tcW w:w="1186" w:type="dxa"/>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left="68" w:firstLine="0"/>
              <w:jc w:val="center"/>
            </w:pPr>
            <w:r w:rsidRPr="000324D7">
              <w:t>чел.</w:t>
            </w:r>
          </w:p>
        </w:tc>
        <w:tc>
          <w:tcPr>
            <w:tcW w:w="1187" w:type="dxa"/>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left="68" w:firstLine="0"/>
              <w:jc w:val="center"/>
            </w:pPr>
            <w:r w:rsidRPr="000324D7">
              <w:t>%</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left="567" w:firstLine="0"/>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left="567" w:firstLine="0"/>
            </w:pPr>
          </w:p>
        </w:tc>
      </w:tr>
      <w:tr w:rsidR="001A5663" w:rsidRPr="000324D7" w:rsidTr="001A5663">
        <w:trPr>
          <w:trHeight w:val="224"/>
        </w:trPr>
        <w:tc>
          <w:tcPr>
            <w:tcW w:w="1632" w:type="dxa"/>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2</w:t>
            </w:r>
          </w:p>
        </w:tc>
        <w:tc>
          <w:tcPr>
            <w:tcW w:w="1780" w:type="dxa"/>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4</w:t>
            </w:r>
          </w:p>
        </w:tc>
        <w:tc>
          <w:tcPr>
            <w:tcW w:w="1187" w:type="dxa"/>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5</w:t>
            </w:r>
          </w:p>
        </w:tc>
        <w:tc>
          <w:tcPr>
            <w:tcW w:w="1631" w:type="dxa"/>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6</w:t>
            </w:r>
          </w:p>
        </w:tc>
        <w:tc>
          <w:tcPr>
            <w:tcW w:w="1592" w:type="dxa"/>
            <w:tcBorders>
              <w:top w:val="single" w:sz="4" w:space="0" w:color="auto"/>
              <w:left w:val="single" w:sz="4" w:space="0" w:color="auto"/>
              <w:bottom w:val="single" w:sz="4" w:space="0" w:color="auto"/>
              <w:right w:val="single" w:sz="4" w:space="0" w:color="auto"/>
            </w:tcBorders>
            <w:vAlign w:val="center"/>
            <w:hideMark/>
          </w:tcPr>
          <w:p w:rsidR="001A5663" w:rsidRPr="000324D7" w:rsidRDefault="001A5663" w:rsidP="000324D7">
            <w:pPr>
              <w:ind w:firstLine="0"/>
              <w:jc w:val="center"/>
            </w:pPr>
            <w:r w:rsidRPr="000324D7">
              <w:t>7</w:t>
            </w:r>
          </w:p>
        </w:tc>
      </w:tr>
      <w:tr w:rsidR="002B696A" w:rsidRPr="000324D7" w:rsidTr="002F4C99">
        <w:trPr>
          <w:trHeight w:val="224"/>
        </w:trPr>
        <w:tc>
          <w:tcPr>
            <w:tcW w:w="1632" w:type="dxa"/>
            <w:tcBorders>
              <w:top w:val="single" w:sz="4" w:space="0" w:color="auto"/>
              <w:left w:val="single" w:sz="4" w:space="0" w:color="auto"/>
              <w:bottom w:val="single" w:sz="4" w:space="0" w:color="auto"/>
              <w:right w:val="single" w:sz="4" w:space="0" w:color="auto"/>
            </w:tcBorders>
            <w:vAlign w:val="center"/>
            <w:hideMark/>
          </w:tcPr>
          <w:p w:rsidR="002B696A" w:rsidRPr="00D7534C" w:rsidRDefault="002B696A" w:rsidP="000324D7">
            <w:pPr>
              <w:spacing w:line="240" w:lineRule="auto"/>
              <w:ind w:firstLine="0"/>
              <w:jc w:val="center"/>
              <w:rPr>
                <w:b/>
              </w:rPr>
            </w:pPr>
            <w:r w:rsidRPr="00D7534C">
              <w:rPr>
                <w:b/>
              </w:rPr>
              <w:t>Группа</w:t>
            </w:r>
            <w:proofErr w:type="gramStart"/>
            <w:r w:rsidRPr="00D7534C">
              <w:rPr>
                <w:b/>
              </w:rPr>
              <w:t xml:space="preserve"> А</w:t>
            </w:r>
            <w:proofErr w:type="gramEnd"/>
          </w:p>
        </w:tc>
        <w:tc>
          <w:tcPr>
            <w:tcW w:w="1482"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3</w:t>
            </w:r>
          </w:p>
        </w:tc>
        <w:tc>
          <w:tcPr>
            <w:tcW w:w="1780"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100,0</w:t>
            </w:r>
          </w:p>
        </w:tc>
        <w:tc>
          <w:tcPr>
            <w:tcW w:w="1186"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3</w:t>
            </w:r>
          </w:p>
        </w:tc>
        <w:tc>
          <w:tcPr>
            <w:tcW w:w="1187"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100,0</w:t>
            </w:r>
          </w:p>
        </w:tc>
        <w:tc>
          <w:tcPr>
            <w:tcW w:w="1631"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13 500 000</w:t>
            </w:r>
          </w:p>
        </w:tc>
        <w:tc>
          <w:tcPr>
            <w:tcW w:w="1592" w:type="dxa"/>
            <w:vMerge w:val="restart"/>
            <w:tcBorders>
              <w:top w:val="single" w:sz="4" w:space="0" w:color="auto"/>
              <w:left w:val="single" w:sz="4" w:space="0" w:color="auto"/>
              <w:right w:val="single" w:sz="4" w:space="0" w:color="auto"/>
            </w:tcBorders>
            <w:vAlign w:val="center"/>
          </w:tcPr>
          <w:p w:rsidR="002B696A" w:rsidRPr="00D7534C" w:rsidRDefault="002B696A" w:rsidP="002A5B85">
            <w:pPr>
              <w:spacing w:line="240" w:lineRule="auto"/>
              <w:ind w:firstLine="0"/>
              <w:jc w:val="center"/>
              <w:rPr>
                <w:b/>
              </w:rPr>
            </w:pPr>
            <w:r w:rsidRPr="00D7534C">
              <w:rPr>
                <w:b/>
              </w:rPr>
              <w:t>0</w:t>
            </w:r>
            <w:bookmarkStart w:id="0" w:name="_GoBack"/>
            <w:bookmarkEnd w:id="0"/>
            <w:r w:rsidRPr="00D7534C">
              <w:rPr>
                <w:b/>
              </w:rPr>
              <w:t>4.06.202</w:t>
            </w:r>
            <w:r w:rsidR="002A5B85">
              <w:rPr>
                <w:b/>
              </w:rPr>
              <w:t>1</w:t>
            </w:r>
          </w:p>
        </w:tc>
      </w:tr>
      <w:tr w:rsidR="002B696A" w:rsidRPr="000324D7" w:rsidTr="002F4C99">
        <w:trPr>
          <w:trHeight w:val="224"/>
        </w:trPr>
        <w:tc>
          <w:tcPr>
            <w:tcW w:w="1632" w:type="dxa"/>
            <w:tcBorders>
              <w:top w:val="single" w:sz="4" w:space="0" w:color="auto"/>
              <w:left w:val="single" w:sz="4" w:space="0" w:color="auto"/>
              <w:bottom w:val="single" w:sz="4" w:space="0" w:color="auto"/>
              <w:right w:val="single" w:sz="4" w:space="0" w:color="auto"/>
            </w:tcBorders>
            <w:vAlign w:val="center"/>
            <w:hideMark/>
          </w:tcPr>
          <w:p w:rsidR="002B696A" w:rsidRPr="00D7534C" w:rsidRDefault="002B696A" w:rsidP="000324D7">
            <w:pPr>
              <w:spacing w:line="240" w:lineRule="auto"/>
              <w:ind w:firstLine="0"/>
              <w:jc w:val="center"/>
              <w:rPr>
                <w:b/>
              </w:rPr>
            </w:pPr>
            <w:r w:rsidRPr="00D7534C">
              <w:rPr>
                <w:b/>
              </w:rPr>
              <w:t>Группа</w:t>
            </w:r>
            <w:proofErr w:type="gramStart"/>
            <w:r w:rsidRPr="00D7534C">
              <w:rPr>
                <w:b/>
              </w:rPr>
              <w:t xml:space="preserve"> В</w:t>
            </w:r>
            <w:proofErr w:type="gramEnd"/>
          </w:p>
        </w:tc>
        <w:tc>
          <w:tcPr>
            <w:tcW w:w="1482"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6</w:t>
            </w:r>
          </w:p>
        </w:tc>
        <w:tc>
          <w:tcPr>
            <w:tcW w:w="1780"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100,0</w:t>
            </w:r>
          </w:p>
        </w:tc>
        <w:tc>
          <w:tcPr>
            <w:tcW w:w="1186"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6</w:t>
            </w:r>
          </w:p>
        </w:tc>
        <w:tc>
          <w:tcPr>
            <w:tcW w:w="1187"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100,0</w:t>
            </w:r>
          </w:p>
        </w:tc>
        <w:tc>
          <w:tcPr>
            <w:tcW w:w="1631"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3 000 000</w:t>
            </w:r>
          </w:p>
        </w:tc>
        <w:tc>
          <w:tcPr>
            <w:tcW w:w="1592" w:type="dxa"/>
            <w:vMerge/>
            <w:tcBorders>
              <w:left w:val="single" w:sz="4" w:space="0" w:color="auto"/>
              <w:right w:val="single" w:sz="4" w:space="0" w:color="auto"/>
            </w:tcBorders>
            <w:vAlign w:val="center"/>
            <w:hideMark/>
          </w:tcPr>
          <w:p w:rsidR="002B696A" w:rsidRPr="000324D7" w:rsidRDefault="002B696A" w:rsidP="000324D7">
            <w:pPr>
              <w:spacing w:line="240" w:lineRule="auto"/>
              <w:ind w:firstLine="0"/>
              <w:jc w:val="center"/>
            </w:pPr>
          </w:p>
        </w:tc>
      </w:tr>
      <w:tr w:rsidR="002B696A" w:rsidRPr="000324D7" w:rsidTr="002F4C99">
        <w:trPr>
          <w:trHeight w:val="212"/>
        </w:trPr>
        <w:tc>
          <w:tcPr>
            <w:tcW w:w="1632" w:type="dxa"/>
            <w:tcBorders>
              <w:top w:val="single" w:sz="4" w:space="0" w:color="auto"/>
              <w:left w:val="single" w:sz="4" w:space="0" w:color="auto"/>
              <w:bottom w:val="single" w:sz="4" w:space="0" w:color="auto"/>
              <w:right w:val="single" w:sz="4" w:space="0" w:color="auto"/>
            </w:tcBorders>
            <w:vAlign w:val="center"/>
            <w:hideMark/>
          </w:tcPr>
          <w:p w:rsidR="002B696A" w:rsidRPr="00D7534C" w:rsidRDefault="002B696A" w:rsidP="000324D7">
            <w:pPr>
              <w:spacing w:line="240" w:lineRule="auto"/>
              <w:ind w:firstLine="0"/>
              <w:jc w:val="center"/>
              <w:rPr>
                <w:b/>
              </w:rPr>
            </w:pPr>
            <w:r w:rsidRPr="00D7534C">
              <w:rPr>
                <w:b/>
              </w:rPr>
              <w:t>Группа</w:t>
            </w:r>
            <w:proofErr w:type="gramStart"/>
            <w:r w:rsidRPr="00D7534C">
              <w:rPr>
                <w:b/>
              </w:rPr>
              <w:t xml:space="preserve"> С</w:t>
            </w:r>
            <w:proofErr w:type="gramEnd"/>
          </w:p>
        </w:tc>
        <w:tc>
          <w:tcPr>
            <w:tcW w:w="1482"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17</w:t>
            </w:r>
          </w:p>
        </w:tc>
        <w:tc>
          <w:tcPr>
            <w:tcW w:w="1780" w:type="dxa"/>
            <w:tcBorders>
              <w:top w:val="single" w:sz="4" w:space="0" w:color="auto"/>
              <w:left w:val="single" w:sz="4" w:space="0" w:color="auto"/>
              <w:bottom w:val="single" w:sz="4" w:space="0" w:color="auto"/>
              <w:right w:val="single" w:sz="4" w:space="0" w:color="auto"/>
            </w:tcBorders>
            <w:vAlign w:val="center"/>
          </w:tcPr>
          <w:p w:rsidR="002B696A" w:rsidRPr="000324D7" w:rsidRDefault="005B397D" w:rsidP="000324D7">
            <w:pPr>
              <w:spacing w:line="240" w:lineRule="auto"/>
              <w:ind w:firstLine="0"/>
              <w:jc w:val="center"/>
            </w:pPr>
            <w:r>
              <w:t>100,0</w:t>
            </w:r>
          </w:p>
        </w:tc>
        <w:tc>
          <w:tcPr>
            <w:tcW w:w="1186" w:type="dxa"/>
            <w:tcBorders>
              <w:top w:val="single" w:sz="4" w:space="0" w:color="auto"/>
              <w:left w:val="single" w:sz="4" w:space="0" w:color="auto"/>
              <w:bottom w:val="single" w:sz="4" w:space="0" w:color="auto"/>
              <w:right w:val="single" w:sz="4" w:space="0" w:color="auto"/>
            </w:tcBorders>
            <w:noWrap/>
            <w:vAlign w:val="center"/>
          </w:tcPr>
          <w:p w:rsidR="002B696A" w:rsidRPr="000324D7" w:rsidRDefault="002B696A" w:rsidP="000324D7">
            <w:pPr>
              <w:spacing w:line="240" w:lineRule="auto"/>
              <w:ind w:firstLine="0"/>
              <w:jc w:val="center"/>
            </w:pPr>
            <w:r w:rsidRPr="000324D7">
              <w:t>17</w:t>
            </w:r>
          </w:p>
        </w:tc>
        <w:tc>
          <w:tcPr>
            <w:tcW w:w="1187" w:type="dxa"/>
            <w:tcBorders>
              <w:top w:val="single" w:sz="4" w:space="0" w:color="auto"/>
              <w:left w:val="single" w:sz="4" w:space="0" w:color="auto"/>
              <w:bottom w:val="single" w:sz="4" w:space="0" w:color="auto"/>
              <w:right w:val="single" w:sz="4" w:space="0" w:color="auto"/>
            </w:tcBorders>
            <w:noWrap/>
            <w:vAlign w:val="center"/>
          </w:tcPr>
          <w:p w:rsidR="002B696A" w:rsidRPr="000324D7" w:rsidRDefault="005B397D" w:rsidP="000324D7">
            <w:pPr>
              <w:spacing w:line="240" w:lineRule="auto"/>
              <w:ind w:firstLine="0"/>
              <w:jc w:val="center"/>
            </w:pPr>
            <w:r>
              <w:t>100,0</w:t>
            </w:r>
          </w:p>
        </w:tc>
        <w:tc>
          <w:tcPr>
            <w:tcW w:w="1631" w:type="dxa"/>
            <w:tcBorders>
              <w:top w:val="single" w:sz="4" w:space="0" w:color="auto"/>
              <w:left w:val="single" w:sz="4" w:space="0" w:color="auto"/>
              <w:bottom w:val="single" w:sz="4" w:space="0" w:color="auto"/>
              <w:right w:val="single" w:sz="4" w:space="0" w:color="auto"/>
            </w:tcBorders>
            <w:vAlign w:val="center"/>
          </w:tcPr>
          <w:p w:rsidR="002B696A" w:rsidRPr="000324D7" w:rsidRDefault="002B696A" w:rsidP="000324D7">
            <w:pPr>
              <w:spacing w:line="240" w:lineRule="auto"/>
              <w:ind w:firstLine="0"/>
              <w:jc w:val="center"/>
            </w:pPr>
            <w:r w:rsidRPr="000324D7">
              <w:t>4 150 000</w:t>
            </w:r>
          </w:p>
        </w:tc>
        <w:tc>
          <w:tcPr>
            <w:tcW w:w="1592" w:type="dxa"/>
            <w:vMerge/>
            <w:tcBorders>
              <w:left w:val="single" w:sz="4" w:space="0" w:color="auto"/>
              <w:right w:val="single" w:sz="4" w:space="0" w:color="auto"/>
            </w:tcBorders>
            <w:vAlign w:val="center"/>
            <w:hideMark/>
          </w:tcPr>
          <w:p w:rsidR="002B696A" w:rsidRPr="000324D7" w:rsidRDefault="002B696A" w:rsidP="000324D7">
            <w:pPr>
              <w:spacing w:line="240" w:lineRule="auto"/>
              <w:ind w:firstLine="0"/>
              <w:jc w:val="center"/>
            </w:pPr>
          </w:p>
        </w:tc>
      </w:tr>
      <w:tr w:rsidR="002B696A" w:rsidRPr="000324D7" w:rsidTr="002F4C99">
        <w:trPr>
          <w:trHeight w:val="212"/>
        </w:trPr>
        <w:tc>
          <w:tcPr>
            <w:tcW w:w="1632" w:type="dxa"/>
            <w:tcBorders>
              <w:top w:val="single" w:sz="4" w:space="0" w:color="auto"/>
              <w:left w:val="single" w:sz="4" w:space="0" w:color="auto"/>
              <w:bottom w:val="single" w:sz="4" w:space="0" w:color="auto"/>
              <w:right w:val="single" w:sz="4" w:space="0" w:color="auto"/>
            </w:tcBorders>
            <w:vAlign w:val="center"/>
          </w:tcPr>
          <w:p w:rsidR="002B696A" w:rsidRPr="00D7534C" w:rsidRDefault="002B696A" w:rsidP="000324D7">
            <w:pPr>
              <w:spacing w:line="240" w:lineRule="auto"/>
              <w:ind w:firstLine="0"/>
              <w:jc w:val="center"/>
              <w:rPr>
                <w:i/>
              </w:rPr>
            </w:pPr>
            <w:r w:rsidRPr="00D7534C">
              <w:rPr>
                <w:i/>
              </w:rPr>
              <w:t xml:space="preserve">в </w:t>
            </w:r>
            <w:proofErr w:type="spellStart"/>
            <w:r w:rsidRPr="00D7534C">
              <w:rPr>
                <w:i/>
              </w:rPr>
              <w:t>т.ч</w:t>
            </w:r>
            <w:proofErr w:type="spellEnd"/>
            <w:r w:rsidRPr="00D7534C">
              <w:rPr>
                <w:i/>
              </w:rPr>
              <w:t>. лица, имеющие инвалидность I группы</w:t>
            </w:r>
          </w:p>
        </w:tc>
        <w:tc>
          <w:tcPr>
            <w:tcW w:w="1482" w:type="dxa"/>
            <w:tcBorders>
              <w:top w:val="single" w:sz="4" w:space="0" w:color="auto"/>
              <w:left w:val="single" w:sz="4" w:space="0" w:color="auto"/>
              <w:bottom w:val="single" w:sz="4" w:space="0" w:color="auto"/>
              <w:right w:val="single" w:sz="4" w:space="0" w:color="auto"/>
            </w:tcBorders>
            <w:vAlign w:val="center"/>
          </w:tcPr>
          <w:p w:rsidR="002B696A" w:rsidRPr="00D7534C" w:rsidRDefault="002B696A" w:rsidP="000324D7">
            <w:pPr>
              <w:spacing w:line="240" w:lineRule="auto"/>
              <w:ind w:firstLine="0"/>
              <w:jc w:val="center"/>
              <w:rPr>
                <w:i/>
              </w:rPr>
            </w:pPr>
            <w:r w:rsidRPr="00D7534C">
              <w:rPr>
                <w:i/>
              </w:rPr>
              <w:t>1</w:t>
            </w:r>
          </w:p>
        </w:tc>
        <w:tc>
          <w:tcPr>
            <w:tcW w:w="1780" w:type="dxa"/>
            <w:tcBorders>
              <w:top w:val="single" w:sz="4" w:space="0" w:color="auto"/>
              <w:left w:val="single" w:sz="4" w:space="0" w:color="auto"/>
              <w:bottom w:val="single" w:sz="4" w:space="0" w:color="auto"/>
              <w:right w:val="single" w:sz="4" w:space="0" w:color="auto"/>
            </w:tcBorders>
            <w:vAlign w:val="center"/>
          </w:tcPr>
          <w:p w:rsidR="002B696A" w:rsidRPr="00D7534C" w:rsidRDefault="005B397D" w:rsidP="000324D7">
            <w:pPr>
              <w:spacing w:line="240" w:lineRule="auto"/>
              <w:ind w:firstLine="0"/>
              <w:jc w:val="center"/>
              <w:rPr>
                <w:i/>
              </w:rPr>
            </w:pPr>
            <w:r>
              <w:rPr>
                <w:i/>
              </w:rPr>
              <w:t>10</w:t>
            </w:r>
            <w:r w:rsidR="002B696A" w:rsidRPr="00D7534C">
              <w:rPr>
                <w:i/>
              </w:rPr>
              <w:t>0,0</w:t>
            </w:r>
          </w:p>
        </w:tc>
        <w:tc>
          <w:tcPr>
            <w:tcW w:w="1186" w:type="dxa"/>
            <w:tcBorders>
              <w:top w:val="single" w:sz="4" w:space="0" w:color="auto"/>
              <w:left w:val="single" w:sz="4" w:space="0" w:color="auto"/>
              <w:bottom w:val="single" w:sz="4" w:space="0" w:color="auto"/>
              <w:right w:val="single" w:sz="4" w:space="0" w:color="auto"/>
            </w:tcBorders>
            <w:noWrap/>
            <w:vAlign w:val="center"/>
          </w:tcPr>
          <w:p w:rsidR="002B696A" w:rsidRPr="00D7534C" w:rsidRDefault="002B696A" w:rsidP="000324D7">
            <w:pPr>
              <w:spacing w:line="240" w:lineRule="auto"/>
              <w:ind w:firstLine="0"/>
              <w:jc w:val="center"/>
              <w:rPr>
                <w:i/>
              </w:rPr>
            </w:pPr>
            <w:r w:rsidRPr="00D7534C">
              <w:rPr>
                <w:i/>
              </w:rPr>
              <w:t>1</w:t>
            </w:r>
          </w:p>
        </w:tc>
        <w:tc>
          <w:tcPr>
            <w:tcW w:w="1187" w:type="dxa"/>
            <w:tcBorders>
              <w:top w:val="single" w:sz="4" w:space="0" w:color="auto"/>
              <w:left w:val="single" w:sz="4" w:space="0" w:color="auto"/>
              <w:bottom w:val="single" w:sz="4" w:space="0" w:color="auto"/>
              <w:right w:val="single" w:sz="4" w:space="0" w:color="auto"/>
            </w:tcBorders>
            <w:noWrap/>
            <w:vAlign w:val="center"/>
          </w:tcPr>
          <w:p w:rsidR="002B696A" w:rsidRPr="00D7534C" w:rsidRDefault="005B397D" w:rsidP="000324D7">
            <w:pPr>
              <w:spacing w:line="240" w:lineRule="auto"/>
              <w:ind w:firstLine="0"/>
              <w:jc w:val="center"/>
              <w:rPr>
                <w:i/>
              </w:rPr>
            </w:pPr>
            <w:r>
              <w:rPr>
                <w:i/>
              </w:rPr>
              <w:t>10</w:t>
            </w:r>
            <w:r w:rsidR="002B696A" w:rsidRPr="00D7534C">
              <w:rPr>
                <w:i/>
              </w:rPr>
              <w:t>0,0</w:t>
            </w:r>
          </w:p>
        </w:tc>
        <w:tc>
          <w:tcPr>
            <w:tcW w:w="1631" w:type="dxa"/>
            <w:tcBorders>
              <w:top w:val="single" w:sz="4" w:space="0" w:color="auto"/>
              <w:left w:val="single" w:sz="4" w:space="0" w:color="auto"/>
              <w:bottom w:val="single" w:sz="4" w:space="0" w:color="auto"/>
              <w:right w:val="single" w:sz="4" w:space="0" w:color="auto"/>
            </w:tcBorders>
            <w:vAlign w:val="center"/>
          </w:tcPr>
          <w:p w:rsidR="002B696A" w:rsidRPr="00D7534C" w:rsidRDefault="002B696A" w:rsidP="000324D7">
            <w:pPr>
              <w:spacing w:line="240" w:lineRule="auto"/>
              <w:ind w:firstLine="0"/>
              <w:jc w:val="center"/>
              <w:rPr>
                <w:i/>
              </w:rPr>
            </w:pPr>
            <w:r w:rsidRPr="00D7534C">
              <w:rPr>
                <w:i/>
              </w:rPr>
              <w:t>150 000</w:t>
            </w:r>
          </w:p>
        </w:tc>
        <w:tc>
          <w:tcPr>
            <w:tcW w:w="1592" w:type="dxa"/>
            <w:vMerge/>
            <w:tcBorders>
              <w:left w:val="single" w:sz="4" w:space="0" w:color="auto"/>
              <w:right w:val="single" w:sz="4" w:space="0" w:color="auto"/>
            </w:tcBorders>
            <w:vAlign w:val="center"/>
          </w:tcPr>
          <w:p w:rsidR="002B696A" w:rsidRPr="000324D7" w:rsidRDefault="002B696A" w:rsidP="000324D7">
            <w:pPr>
              <w:spacing w:line="240" w:lineRule="auto"/>
              <w:ind w:firstLine="0"/>
              <w:jc w:val="center"/>
            </w:pPr>
          </w:p>
        </w:tc>
      </w:tr>
      <w:tr w:rsidR="002B696A" w:rsidRPr="000324D7" w:rsidTr="002F4C99">
        <w:trPr>
          <w:trHeight w:val="224"/>
        </w:trPr>
        <w:tc>
          <w:tcPr>
            <w:tcW w:w="1632" w:type="dxa"/>
            <w:tcBorders>
              <w:top w:val="single" w:sz="4" w:space="0" w:color="auto"/>
              <w:left w:val="single" w:sz="4" w:space="0" w:color="auto"/>
              <w:bottom w:val="single" w:sz="4" w:space="0" w:color="auto"/>
              <w:right w:val="single" w:sz="4" w:space="0" w:color="auto"/>
            </w:tcBorders>
            <w:vAlign w:val="center"/>
            <w:hideMark/>
          </w:tcPr>
          <w:p w:rsidR="002B696A" w:rsidRPr="00D7534C" w:rsidRDefault="002B696A" w:rsidP="000324D7">
            <w:pPr>
              <w:spacing w:line="240" w:lineRule="auto"/>
              <w:ind w:firstLine="0"/>
              <w:jc w:val="center"/>
              <w:rPr>
                <w:b/>
              </w:rPr>
            </w:pPr>
            <w:r w:rsidRPr="00D7534C">
              <w:rPr>
                <w:b/>
              </w:rPr>
              <w:t>Группа D</w:t>
            </w:r>
          </w:p>
        </w:tc>
        <w:tc>
          <w:tcPr>
            <w:tcW w:w="1482" w:type="dxa"/>
            <w:tcBorders>
              <w:top w:val="single" w:sz="4" w:space="0" w:color="auto"/>
              <w:left w:val="single" w:sz="4" w:space="0" w:color="auto"/>
              <w:bottom w:val="single" w:sz="4" w:space="0" w:color="auto"/>
              <w:right w:val="single" w:sz="4" w:space="0" w:color="auto"/>
            </w:tcBorders>
            <w:vAlign w:val="center"/>
          </w:tcPr>
          <w:p w:rsidR="002B696A" w:rsidRPr="000324D7" w:rsidRDefault="007E0C4C" w:rsidP="000324D7">
            <w:pPr>
              <w:spacing w:line="240" w:lineRule="auto"/>
              <w:ind w:firstLine="0"/>
              <w:jc w:val="center"/>
            </w:pPr>
            <w:r>
              <w:t>-</w:t>
            </w:r>
          </w:p>
        </w:tc>
        <w:tc>
          <w:tcPr>
            <w:tcW w:w="1780" w:type="dxa"/>
            <w:tcBorders>
              <w:top w:val="single" w:sz="4" w:space="0" w:color="auto"/>
              <w:left w:val="single" w:sz="4" w:space="0" w:color="auto"/>
              <w:bottom w:val="single" w:sz="4" w:space="0" w:color="auto"/>
              <w:right w:val="single" w:sz="4" w:space="0" w:color="auto"/>
            </w:tcBorders>
            <w:vAlign w:val="center"/>
          </w:tcPr>
          <w:p w:rsidR="002B696A" w:rsidRPr="000324D7" w:rsidRDefault="007E0C4C" w:rsidP="000324D7">
            <w:pPr>
              <w:spacing w:line="240" w:lineRule="auto"/>
              <w:ind w:firstLine="0"/>
              <w:jc w:val="center"/>
            </w:pPr>
            <w:r>
              <w:t>-</w:t>
            </w:r>
          </w:p>
        </w:tc>
        <w:tc>
          <w:tcPr>
            <w:tcW w:w="1186" w:type="dxa"/>
            <w:tcBorders>
              <w:top w:val="single" w:sz="4" w:space="0" w:color="auto"/>
              <w:left w:val="single" w:sz="4" w:space="0" w:color="auto"/>
              <w:bottom w:val="single" w:sz="4" w:space="0" w:color="auto"/>
              <w:right w:val="single" w:sz="4" w:space="0" w:color="auto"/>
            </w:tcBorders>
            <w:noWrap/>
            <w:vAlign w:val="center"/>
          </w:tcPr>
          <w:p w:rsidR="002B696A" w:rsidRPr="000324D7" w:rsidRDefault="007E0C4C" w:rsidP="000324D7">
            <w:pPr>
              <w:spacing w:line="240" w:lineRule="auto"/>
              <w:ind w:firstLine="0"/>
              <w:jc w:val="center"/>
            </w:pPr>
            <w:r>
              <w:t>-</w:t>
            </w:r>
          </w:p>
        </w:tc>
        <w:tc>
          <w:tcPr>
            <w:tcW w:w="1187" w:type="dxa"/>
            <w:tcBorders>
              <w:top w:val="single" w:sz="4" w:space="0" w:color="auto"/>
              <w:left w:val="single" w:sz="4" w:space="0" w:color="auto"/>
              <w:bottom w:val="single" w:sz="4" w:space="0" w:color="auto"/>
              <w:right w:val="single" w:sz="4" w:space="0" w:color="auto"/>
            </w:tcBorders>
            <w:noWrap/>
            <w:vAlign w:val="center"/>
          </w:tcPr>
          <w:p w:rsidR="002B696A" w:rsidRPr="000324D7" w:rsidRDefault="007E0C4C" w:rsidP="000324D7">
            <w:pPr>
              <w:spacing w:line="240" w:lineRule="auto"/>
              <w:ind w:firstLine="0"/>
              <w:jc w:val="center"/>
            </w:pPr>
            <w:r>
              <w:t>-</w:t>
            </w:r>
          </w:p>
        </w:tc>
        <w:tc>
          <w:tcPr>
            <w:tcW w:w="1631" w:type="dxa"/>
            <w:tcBorders>
              <w:top w:val="single" w:sz="4" w:space="0" w:color="auto"/>
              <w:left w:val="single" w:sz="4" w:space="0" w:color="auto"/>
              <w:bottom w:val="single" w:sz="4" w:space="0" w:color="auto"/>
              <w:right w:val="single" w:sz="4" w:space="0" w:color="auto"/>
            </w:tcBorders>
            <w:vAlign w:val="center"/>
          </w:tcPr>
          <w:p w:rsidR="002B696A" w:rsidRPr="000324D7" w:rsidRDefault="007E0C4C" w:rsidP="000324D7">
            <w:pPr>
              <w:spacing w:line="240" w:lineRule="auto"/>
              <w:ind w:firstLine="0"/>
              <w:jc w:val="center"/>
            </w:pPr>
            <w:r>
              <w:t>-</w:t>
            </w:r>
          </w:p>
        </w:tc>
        <w:tc>
          <w:tcPr>
            <w:tcW w:w="1592" w:type="dxa"/>
            <w:vMerge/>
            <w:tcBorders>
              <w:left w:val="single" w:sz="4" w:space="0" w:color="auto"/>
              <w:right w:val="single" w:sz="4" w:space="0" w:color="auto"/>
            </w:tcBorders>
            <w:vAlign w:val="center"/>
            <w:hideMark/>
          </w:tcPr>
          <w:p w:rsidR="002B696A" w:rsidRPr="000324D7" w:rsidRDefault="002B696A" w:rsidP="000324D7">
            <w:pPr>
              <w:spacing w:line="240" w:lineRule="auto"/>
              <w:ind w:firstLine="0"/>
              <w:jc w:val="center"/>
            </w:pPr>
          </w:p>
        </w:tc>
      </w:tr>
      <w:tr w:rsidR="002B696A" w:rsidRPr="000324D7" w:rsidTr="002F4C99">
        <w:trPr>
          <w:trHeight w:val="237"/>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2B696A" w:rsidRPr="00D7534C" w:rsidRDefault="002B696A" w:rsidP="000324D7">
            <w:pPr>
              <w:spacing w:line="240" w:lineRule="auto"/>
              <w:ind w:firstLine="0"/>
              <w:jc w:val="center"/>
              <w:rPr>
                <w:b/>
              </w:rPr>
            </w:pPr>
            <w:r w:rsidRPr="00D7534C">
              <w:rPr>
                <w:b/>
              </w:rPr>
              <w:t>Итого:</w:t>
            </w:r>
          </w:p>
        </w:tc>
        <w:tc>
          <w:tcPr>
            <w:tcW w:w="1482" w:type="dxa"/>
            <w:tcBorders>
              <w:top w:val="single" w:sz="4" w:space="0" w:color="auto"/>
              <w:left w:val="nil"/>
              <w:bottom w:val="single" w:sz="4" w:space="0" w:color="auto"/>
              <w:right w:val="single" w:sz="4" w:space="0" w:color="auto"/>
            </w:tcBorders>
            <w:shd w:val="clear" w:color="auto" w:fill="auto"/>
            <w:vAlign w:val="center"/>
          </w:tcPr>
          <w:p w:rsidR="002B696A" w:rsidRPr="00D7534C" w:rsidRDefault="002B696A" w:rsidP="000324D7">
            <w:pPr>
              <w:spacing w:line="240" w:lineRule="auto"/>
              <w:ind w:firstLine="0"/>
              <w:jc w:val="center"/>
              <w:rPr>
                <w:b/>
              </w:rPr>
            </w:pPr>
            <w:r w:rsidRPr="00D7534C">
              <w:rPr>
                <w:b/>
              </w:rPr>
              <w:t>26</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2B696A" w:rsidRPr="00D7534C" w:rsidRDefault="005B397D" w:rsidP="000324D7">
            <w:pPr>
              <w:spacing w:line="240" w:lineRule="auto"/>
              <w:ind w:firstLine="0"/>
              <w:jc w:val="center"/>
              <w:rPr>
                <w:b/>
              </w:rPr>
            </w:pPr>
            <w:r>
              <w:rPr>
                <w:b/>
              </w:rPr>
              <w:t>100,0</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2B696A" w:rsidRPr="00D7534C" w:rsidRDefault="002B696A" w:rsidP="000324D7">
            <w:pPr>
              <w:spacing w:line="240" w:lineRule="auto"/>
              <w:ind w:firstLine="0"/>
              <w:jc w:val="center"/>
              <w:rPr>
                <w:b/>
              </w:rPr>
            </w:pPr>
            <w:r w:rsidRPr="00D7534C">
              <w:rPr>
                <w:b/>
              </w:rPr>
              <w:t>26</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2B696A" w:rsidRPr="00D7534C" w:rsidRDefault="005B397D" w:rsidP="000324D7">
            <w:pPr>
              <w:spacing w:line="240" w:lineRule="auto"/>
              <w:ind w:firstLine="0"/>
              <w:jc w:val="center"/>
              <w:rPr>
                <w:b/>
              </w:rPr>
            </w:pPr>
            <w:r>
              <w:rPr>
                <w:b/>
              </w:rPr>
              <w:t>100,0</w:t>
            </w:r>
          </w:p>
        </w:tc>
        <w:tc>
          <w:tcPr>
            <w:tcW w:w="1631" w:type="dxa"/>
            <w:tcBorders>
              <w:top w:val="nil"/>
              <w:left w:val="nil"/>
              <w:bottom w:val="single" w:sz="4" w:space="0" w:color="auto"/>
              <w:right w:val="single" w:sz="4" w:space="0" w:color="auto"/>
            </w:tcBorders>
            <w:shd w:val="clear" w:color="auto" w:fill="auto"/>
            <w:vAlign w:val="center"/>
          </w:tcPr>
          <w:p w:rsidR="002B696A" w:rsidRPr="00D7534C" w:rsidRDefault="002B696A" w:rsidP="000324D7">
            <w:pPr>
              <w:spacing w:line="240" w:lineRule="auto"/>
              <w:ind w:firstLine="0"/>
              <w:jc w:val="center"/>
              <w:rPr>
                <w:b/>
              </w:rPr>
            </w:pPr>
            <w:r w:rsidRPr="00D7534C">
              <w:rPr>
                <w:b/>
              </w:rPr>
              <w:t>20 650 000</w:t>
            </w:r>
          </w:p>
        </w:tc>
        <w:tc>
          <w:tcPr>
            <w:tcW w:w="1592" w:type="dxa"/>
            <w:vMerge/>
            <w:tcBorders>
              <w:left w:val="single" w:sz="4" w:space="0" w:color="auto"/>
              <w:bottom w:val="single" w:sz="4" w:space="0" w:color="auto"/>
              <w:right w:val="single" w:sz="4" w:space="0" w:color="auto"/>
            </w:tcBorders>
            <w:shd w:val="clear" w:color="auto" w:fill="auto"/>
            <w:noWrap/>
            <w:vAlign w:val="center"/>
          </w:tcPr>
          <w:p w:rsidR="002B696A" w:rsidRPr="000324D7" w:rsidRDefault="002B696A" w:rsidP="000324D7">
            <w:pPr>
              <w:spacing w:line="240" w:lineRule="auto"/>
              <w:ind w:firstLine="0"/>
              <w:jc w:val="center"/>
            </w:pPr>
          </w:p>
        </w:tc>
      </w:tr>
    </w:tbl>
    <w:p w:rsidR="001A5663" w:rsidRDefault="001A5663" w:rsidP="000324D7">
      <w:pPr>
        <w:ind w:left="567" w:firstLine="0"/>
        <w:rPr>
          <w:highlight w:val="yellow"/>
        </w:rPr>
      </w:pPr>
    </w:p>
    <w:p w:rsidR="000324D7" w:rsidRPr="000324D7" w:rsidRDefault="000324D7" w:rsidP="000324D7">
      <w:pPr>
        <w:ind w:left="567" w:firstLine="0"/>
        <w:jc w:val="right"/>
      </w:pPr>
      <w:r w:rsidRPr="000324D7">
        <w:t>Таблица</w:t>
      </w:r>
      <w:r>
        <w:t xml:space="preserve"> </w:t>
      </w:r>
      <w:r w:rsidRPr="000324D7">
        <w:t>1</w:t>
      </w:r>
    </w:p>
    <w:tbl>
      <w:tblPr>
        <w:tblStyle w:val="a9"/>
        <w:tblW w:w="0" w:type="auto"/>
        <w:tblLook w:val="04A0" w:firstRow="1" w:lastRow="0" w:firstColumn="1" w:lastColumn="0" w:noHBand="0" w:noVBand="1"/>
      </w:tblPr>
      <w:tblGrid>
        <w:gridCol w:w="3521"/>
        <w:gridCol w:w="3521"/>
        <w:gridCol w:w="3522"/>
      </w:tblGrid>
      <w:tr w:rsidR="001E7A2A" w:rsidRPr="000324D7" w:rsidTr="00A855CE">
        <w:tc>
          <w:tcPr>
            <w:tcW w:w="10564" w:type="dxa"/>
            <w:gridSpan w:val="3"/>
          </w:tcPr>
          <w:p w:rsidR="001E7A2A" w:rsidRPr="000324D7" w:rsidRDefault="001E7A2A" w:rsidP="000324D7">
            <w:pPr>
              <w:ind w:left="567" w:firstLine="0"/>
              <w:jc w:val="center"/>
              <w:rPr>
                <w:b/>
              </w:rPr>
            </w:pPr>
            <w:r w:rsidRPr="000324D7">
              <w:rPr>
                <w:b/>
              </w:rPr>
              <w:t>Требования к услугам</w:t>
            </w:r>
          </w:p>
        </w:tc>
      </w:tr>
      <w:tr w:rsidR="001E7A2A" w:rsidRPr="000324D7" w:rsidTr="00D7534C">
        <w:tc>
          <w:tcPr>
            <w:tcW w:w="3521" w:type="dxa"/>
            <w:vAlign w:val="center"/>
          </w:tcPr>
          <w:p w:rsidR="001E7A2A" w:rsidRPr="00D7534C" w:rsidRDefault="001E7A2A" w:rsidP="00D7534C">
            <w:pPr>
              <w:ind w:firstLine="0"/>
              <w:jc w:val="center"/>
              <w:rPr>
                <w:b/>
              </w:rPr>
            </w:pPr>
            <w:r w:rsidRPr="00D7534C">
              <w:rPr>
                <w:b/>
              </w:rPr>
              <w:t>1.1.</w:t>
            </w:r>
            <w:r w:rsidR="00D7534C">
              <w:rPr>
                <w:b/>
              </w:rPr>
              <w:t xml:space="preserve"> </w:t>
            </w:r>
            <w:r w:rsidRPr="00D7534C">
              <w:rPr>
                <w:b/>
              </w:rPr>
              <w:t>Общие положения</w:t>
            </w:r>
          </w:p>
        </w:tc>
        <w:tc>
          <w:tcPr>
            <w:tcW w:w="7043" w:type="dxa"/>
            <w:gridSpan w:val="2"/>
          </w:tcPr>
          <w:p w:rsidR="001E7A2A" w:rsidRPr="000324D7" w:rsidRDefault="001E7A2A" w:rsidP="00CF66BF">
            <w:pPr>
              <w:ind w:firstLine="426"/>
            </w:pPr>
            <w:r w:rsidRPr="000324D7">
              <w:t>Страхование от несчастных случаев и болезней гарантирует выплату работникам (родственникам) дополнительной материальной компенсации в случае смерти,</w:t>
            </w:r>
            <w:r w:rsidR="00CF66BF">
              <w:t xml:space="preserve"> </w:t>
            </w:r>
            <w:r w:rsidR="00CF66BF" w:rsidRPr="00404B9B">
              <w:t>расстройства здоровья</w:t>
            </w:r>
            <w:r w:rsidR="00CF66BF">
              <w:t>,</w:t>
            </w:r>
            <w:r w:rsidRPr="000324D7">
              <w:t xml:space="preserve"> а также наступления частичной или полной утраты трудоспособности застрахованного лица, возникших в результате несчастного случая или болезни.</w:t>
            </w:r>
          </w:p>
        </w:tc>
      </w:tr>
      <w:tr w:rsidR="001E7A2A" w:rsidRPr="000324D7" w:rsidTr="00D7534C">
        <w:tc>
          <w:tcPr>
            <w:tcW w:w="3521" w:type="dxa"/>
            <w:vAlign w:val="center"/>
          </w:tcPr>
          <w:p w:rsidR="001E7A2A" w:rsidRPr="00D7534C" w:rsidRDefault="001E7A2A" w:rsidP="00D7534C">
            <w:pPr>
              <w:ind w:firstLine="0"/>
              <w:jc w:val="center"/>
              <w:rPr>
                <w:b/>
              </w:rPr>
            </w:pPr>
            <w:r w:rsidRPr="00D7534C">
              <w:rPr>
                <w:b/>
              </w:rPr>
              <w:t>2.2. Страховое покрытие</w:t>
            </w:r>
          </w:p>
          <w:p w:rsidR="001E7A2A" w:rsidRPr="00D7534C" w:rsidRDefault="001E7A2A" w:rsidP="00D7534C">
            <w:pPr>
              <w:ind w:firstLine="0"/>
              <w:jc w:val="center"/>
              <w:rPr>
                <w:b/>
              </w:rPr>
            </w:pPr>
            <w:r w:rsidRPr="00D7534C">
              <w:rPr>
                <w:b/>
              </w:rPr>
              <w:t>2.2.1. Объе</w:t>
            </w:r>
            <w:proofErr w:type="gramStart"/>
            <w:r w:rsidRPr="00D7534C">
              <w:rPr>
                <w:b/>
              </w:rPr>
              <w:t>кт стр</w:t>
            </w:r>
            <w:proofErr w:type="gramEnd"/>
            <w:r w:rsidRPr="00D7534C">
              <w:rPr>
                <w:b/>
              </w:rPr>
              <w:t>ахования</w:t>
            </w:r>
          </w:p>
        </w:tc>
        <w:tc>
          <w:tcPr>
            <w:tcW w:w="7043" w:type="dxa"/>
            <w:gridSpan w:val="2"/>
          </w:tcPr>
          <w:p w:rsidR="001E7A2A" w:rsidRPr="000324D7" w:rsidRDefault="001E7A2A" w:rsidP="00CF66BF">
            <w:pPr>
              <w:ind w:firstLine="426"/>
            </w:pPr>
            <w:r w:rsidRPr="000324D7">
              <w:t xml:space="preserve">Объектом страхования являются имущественные интересы Застрахованных лиц, связанные с причинением вреда жизни и здоровью Застрахованных лиц вследствие несчастного случая или </w:t>
            </w:r>
            <w:r w:rsidR="00CF66BF" w:rsidRPr="00404B9B">
              <w:t>болезни</w:t>
            </w:r>
            <w:r w:rsidRPr="00404B9B">
              <w:t>.</w:t>
            </w:r>
          </w:p>
        </w:tc>
      </w:tr>
      <w:tr w:rsidR="001E7A2A" w:rsidRPr="000324D7" w:rsidTr="00D7534C">
        <w:tc>
          <w:tcPr>
            <w:tcW w:w="3521" w:type="dxa"/>
            <w:vAlign w:val="center"/>
          </w:tcPr>
          <w:p w:rsidR="001E7A2A" w:rsidRPr="00D7534C" w:rsidRDefault="001E7A2A" w:rsidP="00D7534C">
            <w:pPr>
              <w:ind w:firstLine="0"/>
              <w:jc w:val="center"/>
              <w:rPr>
                <w:b/>
              </w:rPr>
            </w:pPr>
            <w:r w:rsidRPr="00D7534C">
              <w:rPr>
                <w:b/>
              </w:rPr>
              <w:t>2.2.2 Застрахованные</w:t>
            </w:r>
          </w:p>
        </w:tc>
        <w:tc>
          <w:tcPr>
            <w:tcW w:w="7043" w:type="dxa"/>
            <w:gridSpan w:val="2"/>
          </w:tcPr>
          <w:p w:rsidR="001E7A2A" w:rsidRPr="000324D7" w:rsidRDefault="000324D7" w:rsidP="000324D7">
            <w:pPr>
              <w:ind w:firstLine="426"/>
            </w:pPr>
            <w:r w:rsidRPr="000324D7">
              <w:rPr>
                <w:b/>
              </w:rPr>
              <w:t>Группа</w:t>
            </w:r>
            <w:proofErr w:type="gramStart"/>
            <w:r w:rsidRPr="000324D7">
              <w:rPr>
                <w:b/>
              </w:rPr>
              <w:t xml:space="preserve"> </w:t>
            </w:r>
            <w:r w:rsidR="001E7A2A" w:rsidRPr="000324D7">
              <w:rPr>
                <w:b/>
              </w:rPr>
              <w:t>А</w:t>
            </w:r>
            <w:proofErr w:type="gramEnd"/>
            <w:r w:rsidR="001E7A2A" w:rsidRPr="000324D7">
              <w:rPr>
                <w:b/>
              </w:rPr>
              <w:t>:</w:t>
            </w:r>
            <w:r w:rsidR="001E7A2A" w:rsidRPr="000324D7">
              <w:t xml:space="preserve"> </w:t>
            </w:r>
            <w:r w:rsidR="001E7A2A" w:rsidRPr="00CF66BF">
              <w:rPr>
                <w:i/>
              </w:rPr>
              <w:t>менеджеры высшего звена:</w:t>
            </w:r>
            <w:r w:rsidR="001E7A2A" w:rsidRPr="000324D7">
              <w:t xml:space="preserve"> </w:t>
            </w:r>
            <w:proofErr w:type="spellStart"/>
            <w:r w:rsidR="001E7A2A" w:rsidRPr="000324D7">
              <w:t>И.о</w:t>
            </w:r>
            <w:proofErr w:type="spellEnd"/>
            <w:r w:rsidR="001E7A2A" w:rsidRPr="000324D7">
              <w:t xml:space="preserve">. Генерального </w:t>
            </w:r>
            <w:r w:rsidR="001E7A2A" w:rsidRPr="000324D7">
              <w:lastRenderedPageBreak/>
              <w:t xml:space="preserve">директора, </w:t>
            </w:r>
            <w:r w:rsidR="00A81528">
              <w:t>Г</w:t>
            </w:r>
            <w:r w:rsidR="001E7A2A" w:rsidRPr="000324D7">
              <w:t xml:space="preserve">лавный бухгалтер, заместитель </w:t>
            </w:r>
            <w:r w:rsidR="00A81528">
              <w:t>Г</w:t>
            </w:r>
            <w:r w:rsidR="001E7A2A" w:rsidRPr="000324D7">
              <w:t>енерального директора по финансовой и коммерческой деятельности;</w:t>
            </w:r>
          </w:p>
          <w:p w:rsidR="001E7A2A" w:rsidRPr="000324D7" w:rsidRDefault="000324D7" w:rsidP="000324D7">
            <w:pPr>
              <w:ind w:firstLine="426"/>
            </w:pPr>
            <w:r w:rsidRPr="000324D7">
              <w:rPr>
                <w:b/>
              </w:rPr>
              <w:t>Группа</w:t>
            </w:r>
            <w:proofErr w:type="gramStart"/>
            <w:r w:rsidRPr="000324D7">
              <w:rPr>
                <w:b/>
              </w:rPr>
              <w:t xml:space="preserve"> </w:t>
            </w:r>
            <w:r w:rsidR="001E7A2A" w:rsidRPr="000324D7">
              <w:rPr>
                <w:b/>
              </w:rPr>
              <w:t>В</w:t>
            </w:r>
            <w:proofErr w:type="gramEnd"/>
            <w:r w:rsidR="001E7A2A" w:rsidRPr="000324D7">
              <w:rPr>
                <w:b/>
              </w:rPr>
              <w:t xml:space="preserve">: </w:t>
            </w:r>
            <w:r w:rsidR="001E7A2A" w:rsidRPr="00CF66BF">
              <w:rPr>
                <w:i/>
              </w:rPr>
              <w:t>руководители среднего звена</w:t>
            </w:r>
            <w:r w:rsidR="001E7A2A" w:rsidRPr="000324D7">
              <w:t xml:space="preserve">: </w:t>
            </w:r>
            <w:r w:rsidR="00DE3E78">
              <w:t xml:space="preserve">заместитель главного бухгалтера - </w:t>
            </w:r>
            <w:r w:rsidR="001E7A2A" w:rsidRPr="000324D7">
              <w:t xml:space="preserve">начальник отдела бухгалтерского и налогового учета, начальник </w:t>
            </w:r>
            <w:r w:rsidR="00DE3E78">
              <w:t xml:space="preserve">департамента экономической и коммерческой деятельности – начальник </w:t>
            </w:r>
            <w:r w:rsidR="001E7A2A" w:rsidRPr="000324D7">
              <w:t>финансово-экономического отдела, начальник отдела правового, корпоративного и организационного обеспечения, начальник отдела покупки электроэнергии</w:t>
            </w:r>
            <w:r w:rsidR="00DE3E78">
              <w:t xml:space="preserve"> на оптовом рынке – заместитель начальника департамента по экономической и коммерческой деятельности</w:t>
            </w:r>
            <w:r w:rsidR="001E7A2A" w:rsidRPr="000324D7">
              <w:t>, начальник отдела информационных технологий и начальник отдела развития интеллектуальных систем учета электроэнергии;</w:t>
            </w:r>
          </w:p>
          <w:p w:rsidR="001E7A2A" w:rsidRPr="000324D7" w:rsidRDefault="001E7A2A" w:rsidP="000324D7">
            <w:pPr>
              <w:ind w:firstLine="426"/>
            </w:pPr>
            <w:r w:rsidRPr="000324D7">
              <w:rPr>
                <w:b/>
              </w:rPr>
              <w:t>Группа</w:t>
            </w:r>
            <w:proofErr w:type="gramStart"/>
            <w:r w:rsidRPr="000324D7">
              <w:rPr>
                <w:b/>
              </w:rPr>
              <w:t xml:space="preserve"> С</w:t>
            </w:r>
            <w:proofErr w:type="gramEnd"/>
            <w:r w:rsidRPr="000324D7">
              <w:rPr>
                <w:b/>
              </w:rPr>
              <w:t>:</w:t>
            </w:r>
            <w:r w:rsidRPr="000324D7">
              <w:t xml:space="preserve"> эксперты, специалисты, рабочие всех специальностей.</w:t>
            </w:r>
          </w:p>
        </w:tc>
      </w:tr>
      <w:tr w:rsidR="001E7A2A" w:rsidRPr="000324D7" w:rsidTr="00D7534C">
        <w:tc>
          <w:tcPr>
            <w:tcW w:w="3521" w:type="dxa"/>
            <w:vAlign w:val="center"/>
          </w:tcPr>
          <w:p w:rsidR="001E7A2A" w:rsidRPr="00D7534C" w:rsidRDefault="001E7A2A" w:rsidP="00D7534C">
            <w:pPr>
              <w:ind w:firstLine="0"/>
              <w:jc w:val="center"/>
              <w:rPr>
                <w:b/>
              </w:rPr>
            </w:pPr>
            <w:r w:rsidRPr="00D7534C">
              <w:rPr>
                <w:b/>
              </w:rPr>
              <w:lastRenderedPageBreak/>
              <w:t>3. Территория страхования</w:t>
            </w:r>
          </w:p>
        </w:tc>
        <w:tc>
          <w:tcPr>
            <w:tcW w:w="7043" w:type="dxa"/>
            <w:gridSpan w:val="2"/>
          </w:tcPr>
          <w:p w:rsidR="001E7A2A" w:rsidRPr="000324D7" w:rsidRDefault="001E7A2A" w:rsidP="000324D7">
            <w:pPr>
              <w:ind w:firstLine="426"/>
            </w:pPr>
            <w:r w:rsidRPr="000324D7">
              <w:t>– весь мир.</w:t>
            </w:r>
          </w:p>
        </w:tc>
      </w:tr>
      <w:tr w:rsidR="001E7A2A" w:rsidRPr="000324D7" w:rsidTr="00375CA9">
        <w:tc>
          <w:tcPr>
            <w:tcW w:w="10564" w:type="dxa"/>
            <w:gridSpan w:val="3"/>
          </w:tcPr>
          <w:p w:rsidR="001E7A2A" w:rsidRPr="00D7534C" w:rsidRDefault="001E7A2A" w:rsidP="00D7534C">
            <w:pPr>
              <w:ind w:firstLine="426"/>
              <w:jc w:val="center"/>
              <w:rPr>
                <w:b/>
              </w:rPr>
            </w:pPr>
            <w:r w:rsidRPr="00D7534C">
              <w:rPr>
                <w:b/>
              </w:rPr>
              <w:t>4. Страховые риски, страховые суммы</w:t>
            </w:r>
          </w:p>
        </w:tc>
      </w:tr>
      <w:tr w:rsidR="001A5663" w:rsidRPr="000324D7" w:rsidTr="00D7534C">
        <w:tc>
          <w:tcPr>
            <w:tcW w:w="3521" w:type="dxa"/>
            <w:vAlign w:val="center"/>
          </w:tcPr>
          <w:p w:rsidR="001A5663" w:rsidRPr="00D7534C" w:rsidRDefault="001A5663" w:rsidP="00D7534C">
            <w:pPr>
              <w:ind w:firstLine="0"/>
              <w:jc w:val="center"/>
              <w:rPr>
                <w:b/>
              </w:rPr>
            </w:pPr>
            <w:r w:rsidRPr="00D7534C">
              <w:rPr>
                <w:b/>
              </w:rPr>
              <w:t xml:space="preserve">Группа </w:t>
            </w:r>
            <w:proofErr w:type="gramStart"/>
            <w:r w:rsidRPr="00D7534C">
              <w:rPr>
                <w:b/>
              </w:rPr>
              <w:t>Застрахованных</w:t>
            </w:r>
            <w:proofErr w:type="gramEnd"/>
          </w:p>
        </w:tc>
        <w:tc>
          <w:tcPr>
            <w:tcW w:w="3521" w:type="dxa"/>
            <w:vAlign w:val="center"/>
          </w:tcPr>
          <w:p w:rsidR="001A5663" w:rsidRPr="00D7534C" w:rsidRDefault="001A5663" w:rsidP="00D7534C">
            <w:pPr>
              <w:ind w:firstLine="23"/>
              <w:jc w:val="center"/>
              <w:rPr>
                <w:b/>
              </w:rPr>
            </w:pPr>
            <w:r w:rsidRPr="00D7534C">
              <w:rPr>
                <w:b/>
              </w:rPr>
              <w:t>Страховой риск</w:t>
            </w:r>
          </w:p>
        </w:tc>
        <w:tc>
          <w:tcPr>
            <w:tcW w:w="3522" w:type="dxa"/>
            <w:vAlign w:val="center"/>
          </w:tcPr>
          <w:p w:rsidR="001A5663" w:rsidRPr="00D7534C" w:rsidRDefault="001A5663" w:rsidP="00D7534C">
            <w:pPr>
              <w:ind w:firstLine="0"/>
              <w:jc w:val="center"/>
              <w:rPr>
                <w:b/>
              </w:rPr>
            </w:pPr>
            <w:r w:rsidRPr="00D7534C">
              <w:rPr>
                <w:b/>
              </w:rPr>
              <w:t>Размер индивидуальной страховой суммы, руб.</w:t>
            </w:r>
          </w:p>
        </w:tc>
      </w:tr>
      <w:tr w:rsidR="001A5663" w:rsidRPr="000324D7" w:rsidTr="00D7534C">
        <w:tc>
          <w:tcPr>
            <w:tcW w:w="3521" w:type="dxa"/>
            <w:vMerge w:val="restart"/>
            <w:vAlign w:val="center"/>
          </w:tcPr>
          <w:p w:rsidR="001A5663" w:rsidRPr="00D7534C" w:rsidRDefault="001A5663" w:rsidP="00D7534C">
            <w:pPr>
              <w:ind w:firstLine="0"/>
              <w:jc w:val="center"/>
              <w:rPr>
                <w:b/>
              </w:rPr>
            </w:pPr>
            <w:r w:rsidRPr="00D7534C">
              <w:rPr>
                <w:b/>
              </w:rPr>
              <w:t>А</w:t>
            </w:r>
          </w:p>
        </w:tc>
        <w:tc>
          <w:tcPr>
            <w:tcW w:w="3521" w:type="dxa"/>
            <w:vAlign w:val="center"/>
          </w:tcPr>
          <w:p w:rsidR="001A5663" w:rsidRPr="000324D7" w:rsidRDefault="001A5663" w:rsidP="000324D7">
            <w:pPr>
              <w:ind w:firstLine="426"/>
            </w:pPr>
            <w:r w:rsidRPr="000324D7">
              <w:t>Временное расстройство здоровья в результате несчастного случая</w:t>
            </w:r>
          </w:p>
        </w:tc>
        <w:tc>
          <w:tcPr>
            <w:tcW w:w="3522" w:type="dxa"/>
            <w:vAlign w:val="center"/>
          </w:tcPr>
          <w:p w:rsidR="001A5663" w:rsidRPr="000324D7" w:rsidRDefault="001A5663" w:rsidP="00D7534C">
            <w:pPr>
              <w:ind w:firstLine="46"/>
              <w:jc w:val="center"/>
            </w:pPr>
            <w:r w:rsidRPr="000324D7">
              <w:t>500 000</w:t>
            </w:r>
          </w:p>
        </w:tc>
      </w:tr>
      <w:tr w:rsidR="001A5663" w:rsidRPr="000324D7" w:rsidTr="003466B8">
        <w:tc>
          <w:tcPr>
            <w:tcW w:w="3521" w:type="dxa"/>
            <w:vMerge/>
          </w:tcPr>
          <w:p w:rsidR="001A5663" w:rsidRPr="000324D7" w:rsidRDefault="001A5663" w:rsidP="00D7534C">
            <w:pPr>
              <w:ind w:firstLine="0"/>
            </w:pPr>
          </w:p>
        </w:tc>
        <w:tc>
          <w:tcPr>
            <w:tcW w:w="3521" w:type="dxa"/>
            <w:vAlign w:val="center"/>
          </w:tcPr>
          <w:p w:rsidR="001A5663" w:rsidRPr="000324D7" w:rsidRDefault="001A5663" w:rsidP="000324D7">
            <w:pPr>
              <w:ind w:firstLine="426"/>
            </w:pPr>
            <w:r w:rsidRPr="000324D7">
              <w:t xml:space="preserve">Постоянная утрата трудоспособности (инвалидность) в результате несчастного случая </w:t>
            </w:r>
          </w:p>
        </w:tc>
        <w:tc>
          <w:tcPr>
            <w:tcW w:w="3522" w:type="dxa"/>
            <w:vAlign w:val="center"/>
          </w:tcPr>
          <w:p w:rsidR="001A5663" w:rsidRPr="000324D7" w:rsidRDefault="001A5663" w:rsidP="00D7534C">
            <w:pPr>
              <w:ind w:firstLine="46"/>
              <w:jc w:val="center"/>
            </w:pPr>
            <w:r w:rsidRPr="000324D7">
              <w:t>1 000 000</w:t>
            </w:r>
          </w:p>
        </w:tc>
      </w:tr>
      <w:tr w:rsidR="001A5663" w:rsidRPr="000324D7" w:rsidTr="003466B8">
        <w:tc>
          <w:tcPr>
            <w:tcW w:w="3521" w:type="dxa"/>
            <w:vMerge/>
          </w:tcPr>
          <w:p w:rsidR="001A5663" w:rsidRPr="000324D7" w:rsidRDefault="001A5663" w:rsidP="00D7534C">
            <w:pPr>
              <w:ind w:firstLine="0"/>
            </w:pPr>
          </w:p>
        </w:tc>
        <w:tc>
          <w:tcPr>
            <w:tcW w:w="3521" w:type="dxa"/>
            <w:vAlign w:val="center"/>
          </w:tcPr>
          <w:p w:rsidR="001A5663" w:rsidRPr="000324D7" w:rsidRDefault="001A5663" w:rsidP="000324D7">
            <w:pPr>
              <w:ind w:firstLine="426"/>
            </w:pPr>
            <w:r w:rsidRPr="000324D7">
              <w:t xml:space="preserve">Смерть в результате несчастного случая </w:t>
            </w:r>
          </w:p>
        </w:tc>
        <w:tc>
          <w:tcPr>
            <w:tcW w:w="3522" w:type="dxa"/>
            <w:vAlign w:val="center"/>
          </w:tcPr>
          <w:p w:rsidR="001A5663" w:rsidRPr="000324D7" w:rsidRDefault="001A5663" w:rsidP="00D7534C">
            <w:pPr>
              <w:ind w:firstLine="46"/>
              <w:jc w:val="center"/>
            </w:pPr>
            <w:r w:rsidRPr="000324D7">
              <w:t>1 000 000</w:t>
            </w:r>
          </w:p>
        </w:tc>
      </w:tr>
      <w:tr w:rsidR="001A5663" w:rsidRPr="000324D7" w:rsidTr="003466B8">
        <w:tc>
          <w:tcPr>
            <w:tcW w:w="3521" w:type="dxa"/>
            <w:vMerge/>
          </w:tcPr>
          <w:p w:rsidR="001A5663" w:rsidRPr="000324D7" w:rsidRDefault="001A5663" w:rsidP="00D7534C">
            <w:pPr>
              <w:ind w:firstLine="0"/>
            </w:pPr>
          </w:p>
        </w:tc>
        <w:tc>
          <w:tcPr>
            <w:tcW w:w="3521" w:type="dxa"/>
            <w:vAlign w:val="center"/>
          </w:tcPr>
          <w:p w:rsidR="001A5663" w:rsidRPr="000324D7" w:rsidRDefault="001A5663" w:rsidP="000324D7">
            <w:pPr>
              <w:ind w:firstLine="426"/>
            </w:pPr>
            <w:r w:rsidRPr="000324D7">
              <w:t>Постоянная утрата трудоспособности (инвалидность) в результате заболевания</w:t>
            </w:r>
          </w:p>
        </w:tc>
        <w:tc>
          <w:tcPr>
            <w:tcW w:w="3522" w:type="dxa"/>
            <w:vAlign w:val="center"/>
          </w:tcPr>
          <w:p w:rsidR="001A5663" w:rsidRPr="000324D7" w:rsidRDefault="001A5663" w:rsidP="00D7534C">
            <w:pPr>
              <w:ind w:firstLine="46"/>
              <w:jc w:val="center"/>
            </w:pPr>
            <w:r w:rsidRPr="000324D7">
              <w:t>1 000 000</w:t>
            </w:r>
          </w:p>
        </w:tc>
      </w:tr>
      <w:tr w:rsidR="001A5663" w:rsidRPr="000324D7" w:rsidTr="003466B8">
        <w:tc>
          <w:tcPr>
            <w:tcW w:w="3521" w:type="dxa"/>
            <w:vMerge/>
          </w:tcPr>
          <w:p w:rsidR="001A5663" w:rsidRPr="000324D7" w:rsidRDefault="001A5663" w:rsidP="00D7534C">
            <w:pPr>
              <w:ind w:firstLine="0"/>
            </w:pPr>
          </w:p>
        </w:tc>
        <w:tc>
          <w:tcPr>
            <w:tcW w:w="3521" w:type="dxa"/>
            <w:vAlign w:val="center"/>
          </w:tcPr>
          <w:p w:rsidR="001A5663" w:rsidRPr="000324D7" w:rsidRDefault="001A5663" w:rsidP="000324D7">
            <w:pPr>
              <w:ind w:firstLine="426"/>
            </w:pPr>
            <w:r w:rsidRPr="000324D7">
              <w:t>Смерть в результате заболевания</w:t>
            </w:r>
          </w:p>
        </w:tc>
        <w:tc>
          <w:tcPr>
            <w:tcW w:w="3522" w:type="dxa"/>
            <w:vAlign w:val="center"/>
          </w:tcPr>
          <w:p w:rsidR="001A5663" w:rsidRPr="000324D7" w:rsidRDefault="001A5663" w:rsidP="00D7534C">
            <w:pPr>
              <w:ind w:firstLine="46"/>
              <w:jc w:val="center"/>
            </w:pPr>
            <w:r w:rsidRPr="000324D7">
              <w:t>1 000 000</w:t>
            </w:r>
          </w:p>
        </w:tc>
      </w:tr>
      <w:tr w:rsidR="001A5663" w:rsidRPr="000324D7" w:rsidTr="00D7534C">
        <w:tc>
          <w:tcPr>
            <w:tcW w:w="3521" w:type="dxa"/>
            <w:vMerge w:val="restart"/>
            <w:vAlign w:val="center"/>
          </w:tcPr>
          <w:p w:rsidR="001A5663" w:rsidRPr="00D7534C" w:rsidRDefault="001A5663" w:rsidP="00D7534C">
            <w:pPr>
              <w:ind w:firstLine="0"/>
              <w:jc w:val="center"/>
              <w:rPr>
                <w:b/>
              </w:rPr>
            </w:pPr>
            <w:r w:rsidRPr="00D7534C">
              <w:rPr>
                <w:b/>
              </w:rPr>
              <w:t>B</w:t>
            </w:r>
          </w:p>
        </w:tc>
        <w:tc>
          <w:tcPr>
            <w:tcW w:w="3521" w:type="dxa"/>
            <w:vAlign w:val="center"/>
          </w:tcPr>
          <w:p w:rsidR="001A5663" w:rsidRPr="000324D7" w:rsidRDefault="001A5663" w:rsidP="000324D7">
            <w:pPr>
              <w:ind w:firstLine="426"/>
            </w:pPr>
            <w:r w:rsidRPr="000324D7">
              <w:t>Временное расстройство здоровья в результате несчастного случая</w:t>
            </w:r>
          </w:p>
        </w:tc>
        <w:tc>
          <w:tcPr>
            <w:tcW w:w="3522" w:type="dxa"/>
            <w:vAlign w:val="center"/>
          </w:tcPr>
          <w:p w:rsidR="001A5663" w:rsidRPr="000324D7" w:rsidRDefault="001A5663" w:rsidP="00D7534C">
            <w:pPr>
              <w:ind w:firstLine="0"/>
              <w:jc w:val="center"/>
            </w:pPr>
            <w:r w:rsidRPr="000324D7">
              <w:t>100 000</w:t>
            </w:r>
          </w:p>
        </w:tc>
      </w:tr>
      <w:tr w:rsidR="001A5663" w:rsidRPr="000324D7" w:rsidTr="00DE0418">
        <w:tc>
          <w:tcPr>
            <w:tcW w:w="3521" w:type="dxa"/>
            <w:vMerge/>
          </w:tcPr>
          <w:p w:rsidR="001A5663" w:rsidRPr="000324D7" w:rsidRDefault="001A5663" w:rsidP="00D7534C">
            <w:pPr>
              <w:ind w:firstLine="0"/>
            </w:pPr>
          </w:p>
        </w:tc>
        <w:tc>
          <w:tcPr>
            <w:tcW w:w="3521" w:type="dxa"/>
            <w:vAlign w:val="center"/>
          </w:tcPr>
          <w:p w:rsidR="001A5663" w:rsidRPr="000324D7" w:rsidRDefault="001A5663" w:rsidP="000324D7">
            <w:pPr>
              <w:ind w:firstLine="426"/>
            </w:pPr>
            <w:r w:rsidRPr="000324D7">
              <w:t xml:space="preserve">Постоянная утрата трудоспособности (инвалидность) в результате несчастного случая </w:t>
            </w:r>
          </w:p>
        </w:tc>
        <w:tc>
          <w:tcPr>
            <w:tcW w:w="3522" w:type="dxa"/>
            <w:vAlign w:val="center"/>
          </w:tcPr>
          <w:p w:rsidR="001A5663" w:rsidRPr="000324D7" w:rsidRDefault="001A5663" w:rsidP="00D7534C">
            <w:pPr>
              <w:ind w:firstLine="0"/>
              <w:jc w:val="center"/>
            </w:pPr>
            <w:r w:rsidRPr="000324D7">
              <w:t>200 000</w:t>
            </w:r>
          </w:p>
        </w:tc>
      </w:tr>
      <w:tr w:rsidR="001A5663" w:rsidRPr="000324D7" w:rsidTr="00DE0418">
        <w:tc>
          <w:tcPr>
            <w:tcW w:w="3521" w:type="dxa"/>
            <w:vMerge/>
          </w:tcPr>
          <w:p w:rsidR="001A5663" w:rsidRPr="000324D7" w:rsidRDefault="001A5663" w:rsidP="00D7534C">
            <w:pPr>
              <w:ind w:firstLine="0"/>
            </w:pPr>
          </w:p>
        </w:tc>
        <w:tc>
          <w:tcPr>
            <w:tcW w:w="3521" w:type="dxa"/>
            <w:vAlign w:val="center"/>
          </w:tcPr>
          <w:p w:rsidR="001A5663" w:rsidRPr="000324D7" w:rsidRDefault="001A5663" w:rsidP="000324D7">
            <w:pPr>
              <w:ind w:firstLine="426"/>
            </w:pPr>
            <w:r w:rsidRPr="000324D7">
              <w:t xml:space="preserve">Смерть в результате несчастного случая </w:t>
            </w:r>
          </w:p>
        </w:tc>
        <w:tc>
          <w:tcPr>
            <w:tcW w:w="3522" w:type="dxa"/>
            <w:vAlign w:val="center"/>
          </w:tcPr>
          <w:p w:rsidR="001A5663" w:rsidRPr="000324D7" w:rsidRDefault="001A5663" w:rsidP="00D7534C">
            <w:pPr>
              <w:ind w:firstLine="0"/>
              <w:jc w:val="center"/>
            </w:pPr>
            <w:r w:rsidRPr="000324D7">
              <w:t>200 000</w:t>
            </w:r>
          </w:p>
        </w:tc>
      </w:tr>
      <w:tr w:rsidR="001A5663" w:rsidRPr="000324D7" w:rsidTr="00D7534C">
        <w:tc>
          <w:tcPr>
            <w:tcW w:w="3521" w:type="dxa"/>
            <w:vMerge w:val="restart"/>
            <w:vAlign w:val="center"/>
          </w:tcPr>
          <w:p w:rsidR="001A5663" w:rsidRPr="00D7534C" w:rsidRDefault="001A5663" w:rsidP="00D7534C">
            <w:pPr>
              <w:ind w:firstLine="0"/>
              <w:jc w:val="center"/>
              <w:rPr>
                <w:b/>
              </w:rPr>
            </w:pPr>
            <w:r w:rsidRPr="00D7534C">
              <w:rPr>
                <w:b/>
              </w:rPr>
              <w:lastRenderedPageBreak/>
              <w:t>C</w:t>
            </w:r>
          </w:p>
        </w:tc>
        <w:tc>
          <w:tcPr>
            <w:tcW w:w="3521" w:type="dxa"/>
            <w:vAlign w:val="center"/>
          </w:tcPr>
          <w:p w:rsidR="001A5663" w:rsidRPr="000324D7" w:rsidRDefault="001A5663" w:rsidP="000324D7">
            <w:pPr>
              <w:ind w:firstLine="426"/>
            </w:pPr>
            <w:r w:rsidRPr="000324D7">
              <w:t>Временное расстройство здоровья в результате несчастного случая</w:t>
            </w:r>
          </w:p>
        </w:tc>
        <w:tc>
          <w:tcPr>
            <w:tcW w:w="3522" w:type="dxa"/>
            <w:vAlign w:val="center"/>
          </w:tcPr>
          <w:p w:rsidR="001A5663" w:rsidRPr="000324D7" w:rsidRDefault="001A5663" w:rsidP="00D7534C">
            <w:pPr>
              <w:ind w:firstLine="0"/>
              <w:jc w:val="center"/>
            </w:pPr>
            <w:r w:rsidRPr="000324D7">
              <w:t>50 000</w:t>
            </w:r>
          </w:p>
        </w:tc>
      </w:tr>
      <w:tr w:rsidR="001A5663" w:rsidRPr="000324D7" w:rsidTr="00D7534C">
        <w:tc>
          <w:tcPr>
            <w:tcW w:w="3521" w:type="dxa"/>
            <w:vMerge/>
          </w:tcPr>
          <w:p w:rsidR="001A5663" w:rsidRPr="000324D7" w:rsidRDefault="001A5663" w:rsidP="000324D7">
            <w:pPr>
              <w:ind w:firstLine="426"/>
            </w:pPr>
          </w:p>
        </w:tc>
        <w:tc>
          <w:tcPr>
            <w:tcW w:w="3521" w:type="dxa"/>
            <w:vAlign w:val="center"/>
          </w:tcPr>
          <w:p w:rsidR="001A5663" w:rsidRPr="000324D7" w:rsidRDefault="001A5663" w:rsidP="000324D7">
            <w:pPr>
              <w:ind w:firstLine="426"/>
            </w:pPr>
            <w:r w:rsidRPr="000324D7">
              <w:t xml:space="preserve">Постоянная утрата трудоспособности (инвалидность) в результате несчастного случая </w:t>
            </w:r>
          </w:p>
        </w:tc>
        <w:tc>
          <w:tcPr>
            <w:tcW w:w="3522" w:type="dxa"/>
            <w:vAlign w:val="center"/>
          </w:tcPr>
          <w:p w:rsidR="001A5663" w:rsidRPr="000324D7" w:rsidRDefault="001A5663" w:rsidP="00D7534C">
            <w:pPr>
              <w:ind w:firstLine="0"/>
              <w:jc w:val="center"/>
            </w:pPr>
            <w:r w:rsidRPr="000324D7">
              <w:t>100 000</w:t>
            </w:r>
          </w:p>
        </w:tc>
      </w:tr>
      <w:tr w:rsidR="001A5663" w:rsidRPr="000324D7" w:rsidTr="00D7534C">
        <w:tc>
          <w:tcPr>
            <w:tcW w:w="3521" w:type="dxa"/>
            <w:vMerge/>
          </w:tcPr>
          <w:p w:rsidR="001A5663" w:rsidRPr="000324D7" w:rsidRDefault="001A5663" w:rsidP="000324D7">
            <w:pPr>
              <w:ind w:firstLine="426"/>
            </w:pPr>
          </w:p>
        </w:tc>
        <w:tc>
          <w:tcPr>
            <w:tcW w:w="3521" w:type="dxa"/>
            <w:vAlign w:val="center"/>
          </w:tcPr>
          <w:p w:rsidR="001A5663" w:rsidRPr="000324D7" w:rsidRDefault="001A5663" w:rsidP="000324D7">
            <w:pPr>
              <w:ind w:firstLine="426"/>
            </w:pPr>
            <w:r w:rsidRPr="000324D7">
              <w:t xml:space="preserve">Смерть в результате несчастного случая </w:t>
            </w:r>
          </w:p>
        </w:tc>
        <w:tc>
          <w:tcPr>
            <w:tcW w:w="3522" w:type="dxa"/>
            <w:vAlign w:val="center"/>
          </w:tcPr>
          <w:p w:rsidR="001A5663" w:rsidRPr="000324D7" w:rsidRDefault="001A5663" w:rsidP="00D7534C">
            <w:pPr>
              <w:ind w:firstLine="0"/>
              <w:jc w:val="center"/>
            </w:pPr>
            <w:r w:rsidRPr="000324D7">
              <w:t>100 000</w:t>
            </w:r>
          </w:p>
        </w:tc>
      </w:tr>
      <w:tr w:rsidR="001A5663" w:rsidRPr="000324D7" w:rsidTr="00844F80">
        <w:tc>
          <w:tcPr>
            <w:tcW w:w="10564" w:type="dxa"/>
            <w:gridSpan w:val="3"/>
          </w:tcPr>
          <w:p w:rsidR="001A5663" w:rsidRPr="000324D7" w:rsidRDefault="001A5663" w:rsidP="000324D7">
            <w:pPr>
              <w:ind w:firstLine="426"/>
            </w:pPr>
            <w:r w:rsidRPr="000324D7">
              <w:t>4.1.Страховая защита по всем рискам для всех групп Застрахованных предоставляется круглосуточно (24 часа в сутки).</w:t>
            </w:r>
          </w:p>
          <w:p w:rsidR="007677F1" w:rsidRDefault="007677F1" w:rsidP="007677F1">
            <w:pPr>
              <w:ind w:firstLine="426"/>
            </w:pPr>
            <w:r>
              <w:t>4.2. Страховыми случаями по настоящему Договору являются:</w:t>
            </w:r>
          </w:p>
          <w:p w:rsidR="007677F1" w:rsidRDefault="007677F1" w:rsidP="007677F1">
            <w:pPr>
              <w:ind w:firstLine="426"/>
            </w:pPr>
            <w:r>
              <w:t>4.2.1. По страхованию от несчастных случаев:</w:t>
            </w:r>
          </w:p>
          <w:p w:rsidR="007677F1" w:rsidRDefault="007677F1" w:rsidP="007677F1">
            <w:pPr>
              <w:ind w:firstLine="426"/>
            </w:pPr>
            <w:r>
              <w:t>а) "Временная утрата трудоспособности в результате несчастного случая" - для Застрахованных лиц страховым случаем является временная утрата трудоспособности Застрахованным лицом, обусловленная несчастным случаем и наступившая в течение 30 дней со дня данного несчастного случая.</w:t>
            </w:r>
          </w:p>
          <w:p w:rsidR="007677F1" w:rsidRDefault="007677F1" w:rsidP="007677F1">
            <w:pPr>
              <w:ind w:firstLine="426"/>
            </w:pPr>
            <w:r>
              <w:t>Фактом временной утраты трудоспособности признается нетрудоспособность любой продолжительности и установленный диагноз, подтверждающий последствия несчастного случая.</w:t>
            </w:r>
          </w:p>
          <w:p w:rsidR="007677F1" w:rsidRDefault="007677F1" w:rsidP="007677F1">
            <w:pPr>
              <w:ind w:firstLine="426"/>
            </w:pPr>
            <w:proofErr w:type="gramStart"/>
            <w:r>
              <w:t>б) "Постоянная утрата трудоспособности (инвалидность) в результате несчастного случая"   - для Застрахованных лиц в возрасте от 18 лет (включительно) страховым случаем является постоянная утрата трудоспособности, под которой понимается установление инвалидности I, II или III группы (для лиц, имеющих инвалидность II или III группы – установление более тяжелой группы инвалидности), обусловленное несчастным случаем и произошедшее в течение 1 года со дня данного несчастного</w:t>
            </w:r>
            <w:proofErr w:type="gramEnd"/>
            <w:r>
              <w:t xml:space="preserve"> случая;</w:t>
            </w:r>
          </w:p>
          <w:p w:rsidR="007677F1" w:rsidRDefault="007677F1" w:rsidP="007677F1">
            <w:pPr>
              <w:ind w:firstLine="426"/>
            </w:pPr>
            <w:r>
              <w:t>в) "Смерть в результате несчастного случая" - смерть Застрахованного лица, обусловленная несчастным случаем, и произошедшая в течение 1 года со дня данного несчастного случая.</w:t>
            </w:r>
          </w:p>
          <w:p w:rsidR="007677F1" w:rsidRDefault="007677F1" w:rsidP="007677F1">
            <w:pPr>
              <w:ind w:firstLine="426"/>
            </w:pPr>
            <w:r>
              <w:t>4.2.2. По страхованию на случай заболеваний:</w:t>
            </w:r>
          </w:p>
          <w:p w:rsidR="007677F1" w:rsidRDefault="007677F1" w:rsidP="007677F1">
            <w:pPr>
              <w:ind w:firstLine="426"/>
            </w:pPr>
            <w:proofErr w:type="gramStart"/>
            <w:r>
              <w:t>а) "Постоянная утрата трудоспособности (инвалидность) в результате заболевания"  - для Застрахованных лиц в возрасте от 18 лет (включительно) страховым случаем является постоянная утрата трудоспособности, под которой понимается установление инвалидности I, II или III группы (для лиц, имеющих инвалидность II или III группы – установление более тяжелой группы инвалидности), обусловленное заболеванием, предусмотренным условиями договора страхования, и произошедшее в течение 1 года с даты</w:t>
            </w:r>
            <w:proofErr w:type="gramEnd"/>
            <w:r>
              <w:t xml:space="preserve"> диагностирования данного заболевания для Застрахованных лиц согласно Приложению 3 – Группа «А»;</w:t>
            </w:r>
          </w:p>
          <w:p w:rsidR="001A5663" w:rsidRDefault="007677F1" w:rsidP="007677F1">
            <w:pPr>
              <w:ind w:firstLine="426"/>
            </w:pPr>
            <w:proofErr w:type="gramStart"/>
            <w:r>
              <w:t>б) "Смерть в результате заболевания" - смерть Застрахованного лица, обусловленная заболеванием, предусмотренным условиями договора страхования, и произошедшая в течение срока действия договора страхования для Застрахованных лиц согласно Приложению 3 - Группа «А»)</w:t>
            </w:r>
            <w:proofErr w:type="gramEnd"/>
          </w:p>
          <w:p w:rsidR="007677F1" w:rsidRPr="000324D7" w:rsidRDefault="007677F1" w:rsidP="007677F1">
            <w:pPr>
              <w:ind w:firstLine="426"/>
            </w:pPr>
          </w:p>
        </w:tc>
      </w:tr>
      <w:tr w:rsidR="001A5663" w:rsidRPr="000324D7" w:rsidTr="00D7534C">
        <w:tc>
          <w:tcPr>
            <w:tcW w:w="3521" w:type="dxa"/>
            <w:vAlign w:val="center"/>
          </w:tcPr>
          <w:p w:rsidR="001A5663" w:rsidRPr="00D7534C" w:rsidRDefault="00D7534C" w:rsidP="00D7534C">
            <w:pPr>
              <w:ind w:firstLine="0"/>
              <w:jc w:val="center"/>
              <w:rPr>
                <w:b/>
              </w:rPr>
            </w:pPr>
            <w:r>
              <w:rPr>
                <w:b/>
              </w:rPr>
              <w:t xml:space="preserve">5. </w:t>
            </w:r>
            <w:r w:rsidR="001A5663" w:rsidRPr="00D7534C">
              <w:rPr>
                <w:b/>
              </w:rPr>
              <w:t>Общие исключения из страхового покрытия</w:t>
            </w:r>
          </w:p>
        </w:tc>
        <w:tc>
          <w:tcPr>
            <w:tcW w:w="7043" w:type="dxa"/>
            <w:gridSpan w:val="2"/>
          </w:tcPr>
          <w:p w:rsidR="007677F1" w:rsidRDefault="007677F1" w:rsidP="007677F1">
            <w:pPr>
              <w:ind w:firstLine="426"/>
            </w:pPr>
            <w:r>
              <w:t>5.1. Не являются страховыми случаями причинение вреда здоровью Застрахованного лица или смерть Застрахованного лица, произошедшие:</w:t>
            </w:r>
          </w:p>
          <w:p w:rsidR="007677F1" w:rsidRDefault="007677F1" w:rsidP="007677F1">
            <w:pPr>
              <w:ind w:firstLine="426"/>
            </w:pPr>
            <w:r>
              <w:t>5.1.1. при совершении Застрахованным лицом умышленных действий, в том числе умышленного причинения телесных повреждений, повлекших причинение вреда здоровью Застрахованного лица или смерть Застрахованного лица;</w:t>
            </w:r>
          </w:p>
          <w:p w:rsidR="007677F1" w:rsidRDefault="007677F1" w:rsidP="007677F1">
            <w:pPr>
              <w:ind w:firstLine="426"/>
            </w:pPr>
            <w:r>
              <w:t>5.1.2. при совершении Застрахованным лицом умышленного противоправного действия, факт которого установлен компетентными органами;</w:t>
            </w:r>
          </w:p>
          <w:p w:rsidR="007677F1" w:rsidRDefault="007677F1" w:rsidP="007677F1">
            <w:pPr>
              <w:ind w:firstLine="426"/>
            </w:pPr>
            <w:r>
              <w:t>5.1.3. в результате покушения Застрахованного лица на самоубийство или совершения им самоубийства, за исключением случаев, когда Застрахованное лицо было доведено до этого противоправными действиями третьих лиц (договором страхования может предусматриваться полное или частичное неприменение данного исключения). При этом Страховщик не освобождается от обязанности произвести страховую выплату в случае смерти Застрахованного лица в результате самоубийства, если к этому моменту договор страхования действовал не менее 2 лет;</w:t>
            </w:r>
          </w:p>
          <w:p w:rsidR="007677F1" w:rsidRDefault="007677F1" w:rsidP="007677F1">
            <w:pPr>
              <w:ind w:firstLine="426"/>
            </w:pPr>
            <w:r>
              <w:t>5.1.4. при управлении Застрахованным лицом транспортным средством, аппаратом или прибором без права такого управления или при передаче Застрахованным лицом управления лицу, не имеющему права на управление данным транспортным средством, аппаратом или прибором;</w:t>
            </w:r>
          </w:p>
          <w:p w:rsidR="007677F1" w:rsidRDefault="007677F1" w:rsidP="007677F1">
            <w:pPr>
              <w:ind w:firstLine="426"/>
            </w:pPr>
            <w:r>
              <w:t>5.1.5. при управлении Застрахованным лицом транспортным средством в состоянии любой формы опьянения (алкогольного, наркотического, токсического и др.) или после принятия лекарственных препаратов, противопоказанных при управлении транспортным средством, или при передаче Застрахованным лицом управления лицу, находящемуся в таком состоянии.</w:t>
            </w:r>
          </w:p>
          <w:p w:rsidR="007677F1" w:rsidRDefault="007677F1" w:rsidP="007677F1">
            <w:pPr>
              <w:ind w:firstLine="426"/>
            </w:pPr>
            <w:r>
              <w:t>Перечисленные в настоящем пункте деяния признаются таковыми судом или иными компетентными органами в порядке, установленном действующим законодательством Российской Федерации.</w:t>
            </w:r>
          </w:p>
          <w:p w:rsidR="007677F1" w:rsidRDefault="007677F1" w:rsidP="007677F1">
            <w:pPr>
              <w:ind w:firstLine="426"/>
            </w:pPr>
            <w:r>
              <w:t>5.1.6. в результате совершения Страхователем, Выгодоприобретателем умышленных действий, направленных на причинение вреда жизни или здоровью Застрахованного лица, в том числе умышленного причинения телесных повреждений Застрахованному лицу.</w:t>
            </w:r>
          </w:p>
          <w:p w:rsidR="007677F1" w:rsidRDefault="007677F1" w:rsidP="007677F1">
            <w:pPr>
              <w:ind w:firstLine="426"/>
            </w:pPr>
            <w:r>
              <w:t xml:space="preserve">5.2. </w:t>
            </w:r>
            <w:proofErr w:type="gramStart"/>
            <w:r>
              <w:t>Не являются застрахованными случаи установления инвалидности по переосвидетельствованию, за исключением случаев, если по договору страхования Застрахованному лицу была произведена страховая выплата по инвалидности, а затем в течение 1 года с даты несчастного случая или установления диагноза заболевания по переосвидетельствованию установлена более тяжелая группа в связи с тем же заболеванием или несчастным случаем, то Страховщик по результатам переосвидетельствования выплачивает разницу между</w:t>
            </w:r>
            <w:proofErr w:type="gramEnd"/>
            <w:r>
              <w:t xml:space="preserve"> страховой выплатой за более тяжелую группу инвалидности и произведенной выплатой за ранее установленную группу инвалидности.</w:t>
            </w:r>
          </w:p>
          <w:p w:rsidR="007677F1" w:rsidRDefault="007677F1" w:rsidP="007677F1">
            <w:pPr>
              <w:ind w:firstLine="426"/>
            </w:pPr>
            <w:r>
              <w:t>5.3. В соответствии со ст. 964 Гражданского кодекса Российской Федерации Страховщик освобождается от страховой выплаты, если причинение вреда здоровью Застрахованного лица или смерть Застрахованного лица произошли в результате:</w:t>
            </w:r>
          </w:p>
          <w:p w:rsidR="007677F1" w:rsidRDefault="007677F1" w:rsidP="007677F1">
            <w:pPr>
              <w:ind w:firstLine="426"/>
            </w:pPr>
            <w:r>
              <w:t>5.3.1. воздействия ядерного взрыва, радиации или радиоактивного заражения;</w:t>
            </w:r>
          </w:p>
          <w:p w:rsidR="007677F1" w:rsidRDefault="007677F1" w:rsidP="007677F1">
            <w:pPr>
              <w:ind w:firstLine="426"/>
            </w:pPr>
            <w:r>
              <w:t>5.3.2. военных действий, а также манёвров или иных военных мероприятий;</w:t>
            </w:r>
          </w:p>
          <w:p w:rsidR="007677F1" w:rsidRDefault="007677F1" w:rsidP="007677F1">
            <w:pPr>
              <w:ind w:firstLine="426"/>
            </w:pPr>
            <w:r>
              <w:t>5.3.3. гражданской войны, народных волнений всякого рода или забастовок.</w:t>
            </w:r>
          </w:p>
          <w:p w:rsidR="007677F1" w:rsidRDefault="007677F1" w:rsidP="007677F1">
            <w:pPr>
              <w:ind w:firstLine="426"/>
            </w:pPr>
            <w:r>
              <w:t>5.4. Не являются застрахованными случаи причинения вреда здоровью Застрахованного лица или смерть Застрахованного лица, произошедшие в результате:</w:t>
            </w:r>
          </w:p>
          <w:p w:rsidR="007677F1" w:rsidRDefault="007677F1" w:rsidP="007677F1">
            <w:pPr>
              <w:ind w:firstLine="426"/>
            </w:pPr>
            <w:r>
              <w:t xml:space="preserve">5.4.1. чрезвычайных (особых) положений, объявленных органами власти в установленном законом порядке в связи с событиями, перечисленными в </w:t>
            </w:r>
            <w:proofErr w:type="spellStart"/>
            <w:r>
              <w:t>п.п</w:t>
            </w:r>
            <w:proofErr w:type="spellEnd"/>
            <w:r>
              <w:t xml:space="preserve">. </w:t>
            </w:r>
            <w:r w:rsidR="00F310FA">
              <w:t>5</w:t>
            </w:r>
            <w:r>
              <w:t>.</w:t>
            </w:r>
            <w:r w:rsidR="00F310FA">
              <w:t>3</w:t>
            </w:r>
            <w:r>
              <w:t xml:space="preserve">.1 – </w:t>
            </w:r>
            <w:r w:rsidR="00F310FA">
              <w:t>5</w:t>
            </w:r>
            <w:r>
              <w:t>.</w:t>
            </w:r>
            <w:r w:rsidR="00F310FA">
              <w:t>3</w:t>
            </w:r>
            <w:r>
              <w:t>.3;</w:t>
            </w:r>
          </w:p>
          <w:p w:rsidR="007677F1" w:rsidRDefault="007677F1" w:rsidP="007677F1">
            <w:pPr>
              <w:ind w:firstLine="426"/>
            </w:pPr>
            <w:r>
              <w:t xml:space="preserve">5.4.2. занятий Застрахованного лица любыми видами спорта. </w:t>
            </w:r>
          </w:p>
          <w:p w:rsidR="007677F1" w:rsidRDefault="007677F1" w:rsidP="007677F1">
            <w:pPr>
              <w:ind w:firstLine="426"/>
            </w:pPr>
            <w:r>
              <w:t>5.5. По страхованию на случай заболевания не являются страховыми случаями последствия:</w:t>
            </w:r>
          </w:p>
          <w:p w:rsidR="007677F1" w:rsidRDefault="007677F1" w:rsidP="007677F1">
            <w:pPr>
              <w:ind w:firstLine="426"/>
            </w:pPr>
            <w:r>
              <w:t xml:space="preserve">5.5.1. заболеваний, имевшихся у Застрахованного лица, о которых Страхователь (Застрахованное лицо) знал, но не сообщил Страховщику при заключении настоящего договора </w:t>
            </w:r>
          </w:p>
          <w:p w:rsidR="007677F1" w:rsidRDefault="007677F1" w:rsidP="007677F1">
            <w:pPr>
              <w:ind w:firstLine="426"/>
            </w:pPr>
            <w:r>
              <w:t xml:space="preserve">5.5.2. заболеваний, диагностированных у Застрахованного лица до вступления договора страхования в силу. </w:t>
            </w:r>
          </w:p>
          <w:p w:rsidR="007677F1" w:rsidRDefault="007677F1" w:rsidP="007677F1">
            <w:pPr>
              <w:ind w:firstLine="426"/>
            </w:pPr>
            <w:r>
              <w:t>5.5.3. заболеваний, связанных с употреблением алкоголя, наркотических и токсических веществ.</w:t>
            </w:r>
          </w:p>
          <w:p w:rsidR="007677F1" w:rsidRDefault="007677F1" w:rsidP="007677F1">
            <w:pPr>
              <w:ind w:firstLine="426"/>
            </w:pPr>
            <w:r>
              <w:t>5.6.Не являются застрахованными последствия:</w:t>
            </w:r>
          </w:p>
          <w:p w:rsidR="007677F1" w:rsidRDefault="007677F1" w:rsidP="007677F1">
            <w:pPr>
              <w:ind w:firstLine="426"/>
            </w:pPr>
            <w:r>
              <w:t>5.6.1. сотрясения мозга при сроках лечения:</w:t>
            </w:r>
          </w:p>
          <w:p w:rsidR="007677F1" w:rsidRDefault="007677F1" w:rsidP="007677F1">
            <w:pPr>
              <w:ind w:firstLine="426"/>
            </w:pPr>
            <w:r>
              <w:t>– для Застрахованных лиц в возрасте от 18 лет (включительно) − менее 14 дней;</w:t>
            </w:r>
          </w:p>
          <w:p w:rsidR="007677F1" w:rsidRDefault="007677F1" w:rsidP="007677F1">
            <w:pPr>
              <w:ind w:firstLine="426"/>
            </w:pPr>
            <w:r>
              <w:t>– для Застрахованных лиц в возрасте до 18 лет − менее 10 дней;</w:t>
            </w:r>
          </w:p>
          <w:p w:rsidR="007677F1" w:rsidRDefault="007677F1" w:rsidP="007677F1">
            <w:pPr>
              <w:ind w:firstLine="426"/>
            </w:pPr>
            <w:r>
              <w:t>5.6.2. несчастного случая, наступившего во время нахождения Застрахованного лица в состоянии алкогольного, наркотического или токсического опьянения, подтвержденного соответствующими документами.</w:t>
            </w:r>
          </w:p>
          <w:p w:rsidR="007677F1" w:rsidRDefault="007677F1" w:rsidP="007677F1">
            <w:pPr>
              <w:ind w:firstLine="426"/>
            </w:pPr>
            <w:proofErr w:type="gramStart"/>
            <w:r>
              <w:t>Данное исключение не применяется, если вред жизни и здоровью Застрахованного лица был причинен в результате происшествий (аварии, катастрофы, дорожно-транспортного происшествия) с любым средством транспорта, на котором Застрахованное лицо находилось в качестве пассажира, что должно быть подтверждено документами компетентных органов, проводивших уголовное или административное расследование (разбирательство) по факту происшествия с транспортным средством.</w:t>
            </w:r>
            <w:proofErr w:type="gramEnd"/>
          </w:p>
          <w:p w:rsidR="001A5663" w:rsidRPr="000324D7" w:rsidRDefault="007677F1" w:rsidP="007677F1">
            <w:pPr>
              <w:ind w:firstLine="426"/>
            </w:pPr>
            <w:r>
              <w:t>5.6.3. несчастного случая, обусловленного приступом эпилепсии.</w:t>
            </w:r>
          </w:p>
        </w:tc>
      </w:tr>
      <w:tr w:rsidR="001A5663" w:rsidRPr="000324D7" w:rsidTr="00D7534C">
        <w:tc>
          <w:tcPr>
            <w:tcW w:w="3521" w:type="dxa"/>
            <w:vAlign w:val="center"/>
          </w:tcPr>
          <w:p w:rsidR="001A5663" w:rsidRPr="00D7534C" w:rsidRDefault="001A5663" w:rsidP="00D7534C">
            <w:pPr>
              <w:ind w:firstLine="0"/>
              <w:jc w:val="center"/>
              <w:rPr>
                <w:b/>
              </w:rPr>
            </w:pPr>
            <w:r w:rsidRPr="00D7534C">
              <w:rPr>
                <w:b/>
              </w:rPr>
              <w:t>6. Прочие условия страхования</w:t>
            </w:r>
          </w:p>
          <w:p w:rsidR="001A5663" w:rsidRPr="00D7534C" w:rsidRDefault="001A5663" w:rsidP="00D7534C">
            <w:pPr>
              <w:ind w:firstLine="0"/>
              <w:jc w:val="center"/>
              <w:rPr>
                <w:b/>
              </w:rPr>
            </w:pPr>
            <w:r w:rsidRPr="00D7534C">
              <w:rPr>
                <w:b/>
              </w:rPr>
              <w:t>6.1. Страховая сумма</w:t>
            </w:r>
          </w:p>
        </w:tc>
        <w:tc>
          <w:tcPr>
            <w:tcW w:w="7043" w:type="dxa"/>
            <w:gridSpan w:val="2"/>
          </w:tcPr>
          <w:p w:rsidR="001A5663" w:rsidRPr="000324D7" w:rsidRDefault="001A5663" w:rsidP="000324D7">
            <w:pPr>
              <w:ind w:firstLine="426"/>
            </w:pPr>
            <w:r w:rsidRPr="000324D7">
              <w:t>Общий размер страховой суммы на каждое Застрахованное лицо составляет:</w:t>
            </w:r>
          </w:p>
          <w:p w:rsidR="001A5663" w:rsidRPr="000324D7" w:rsidRDefault="001A5663" w:rsidP="000324D7">
            <w:pPr>
              <w:ind w:firstLine="426"/>
            </w:pPr>
            <w:r w:rsidRPr="000324D7">
              <w:t xml:space="preserve">для Застрахованных лиц </w:t>
            </w:r>
            <w:r w:rsidRPr="00D7534C">
              <w:rPr>
                <w:b/>
              </w:rPr>
              <w:t>группы</w:t>
            </w:r>
            <w:proofErr w:type="gramStart"/>
            <w:r w:rsidRPr="00D7534C">
              <w:rPr>
                <w:b/>
              </w:rPr>
              <w:t xml:space="preserve"> А</w:t>
            </w:r>
            <w:proofErr w:type="gramEnd"/>
            <w:r w:rsidRPr="00D7534C">
              <w:rPr>
                <w:b/>
              </w:rPr>
              <w:t>: 4 500 000</w:t>
            </w:r>
            <w:r w:rsidRPr="000324D7">
              <w:t xml:space="preserve"> (</w:t>
            </w:r>
            <w:r w:rsidR="008543F2">
              <w:t>Четыре</w:t>
            </w:r>
            <w:r w:rsidRPr="000324D7">
              <w:t xml:space="preserve"> миллиона пятьсот тысяч) рублей 00 копеек;</w:t>
            </w:r>
          </w:p>
          <w:p w:rsidR="001A5663" w:rsidRPr="000324D7" w:rsidRDefault="001A5663" w:rsidP="000324D7">
            <w:pPr>
              <w:ind w:firstLine="426"/>
            </w:pPr>
            <w:r w:rsidRPr="000324D7">
              <w:t xml:space="preserve">для Застрахованных лиц </w:t>
            </w:r>
            <w:r w:rsidRPr="00D7534C">
              <w:rPr>
                <w:b/>
              </w:rPr>
              <w:t>группы</w:t>
            </w:r>
            <w:proofErr w:type="gramStart"/>
            <w:r w:rsidRPr="00D7534C">
              <w:rPr>
                <w:b/>
              </w:rPr>
              <w:t xml:space="preserve"> В</w:t>
            </w:r>
            <w:proofErr w:type="gramEnd"/>
            <w:r w:rsidRPr="00D7534C">
              <w:rPr>
                <w:b/>
              </w:rPr>
              <w:t>: 500 000</w:t>
            </w:r>
            <w:r w:rsidRPr="000324D7">
              <w:t xml:space="preserve"> (Пятьсот тысяч) рублей 00 копеек;</w:t>
            </w:r>
          </w:p>
          <w:p w:rsidR="001A5663" w:rsidRPr="000324D7" w:rsidRDefault="001A5663" w:rsidP="000324D7">
            <w:pPr>
              <w:ind w:firstLine="426"/>
            </w:pPr>
            <w:r w:rsidRPr="000324D7">
              <w:t xml:space="preserve">для Застрахованных лиц </w:t>
            </w:r>
            <w:r w:rsidRPr="00D7534C">
              <w:rPr>
                <w:b/>
              </w:rPr>
              <w:t>группы</w:t>
            </w:r>
            <w:proofErr w:type="gramStart"/>
            <w:r w:rsidRPr="00D7534C">
              <w:rPr>
                <w:b/>
              </w:rPr>
              <w:t xml:space="preserve"> С</w:t>
            </w:r>
            <w:proofErr w:type="gramEnd"/>
            <w:r w:rsidRPr="00D7534C">
              <w:rPr>
                <w:b/>
              </w:rPr>
              <w:t>: 250 000</w:t>
            </w:r>
            <w:r w:rsidRPr="000324D7">
              <w:t xml:space="preserve"> (Двести пятьдесят тысяч) рублей 00 копеек.</w:t>
            </w:r>
          </w:p>
        </w:tc>
      </w:tr>
      <w:tr w:rsidR="001A5663" w:rsidRPr="000324D7" w:rsidTr="00D7534C">
        <w:tc>
          <w:tcPr>
            <w:tcW w:w="3521" w:type="dxa"/>
            <w:vAlign w:val="center"/>
          </w:tcPr>
          <w:p w:rsidR="001A5663" w:rsidRPr="00D7534C" w:rsidRDefault="001A5663" w:rsidP="00D7534C">
            <w:pPr>
              <w:ind w:firstLine="0"/>
              <w:jc w:val="center"/>
              <w:rPr>
                <w:b/>
              </w:rPr>
            </w:pPr>
            <w:r w:rsidRPr="00D7534C">
              <w:rPr>
                <w:b/>
              </w:rPr>
              <w:t>6.2  Размеры страховых выплат</w:t>
            </w:r>
          </w:p>
        </w:tc>
        <w:tc>
          <w:tcPr>
            <w:tcW w:w="7043" w:type="dxa"/>
            <w:gridSpan w:val="2"/>
          </w:tcPr>
          <w:p w:rsidR="001A5663" w:rsidRPr="00404B9B" w:rsidRDefault="001A5663" w:rsidP="000324D7">
            <w:pPr>
              <w:ind w:firstLine="426"/>
            </w:pPr>
            <w:r w:rsidRPr="00404B9B">
              <w:t>Временное расстройство здоровья в результате несчастного случая: размер страховой выплаты определяется в процентах от индивидуальной страховой суммы Застрахованного лица, согласно предусмотренной договором страхования «Таблице размеров страховых выплат в связи с несчастным случаем» или «Таблице заболеваний» соответственно произошедшему страховому случаю и условиям договора страхования</w:t>
            </w:r>
          </w:p>
          <w:p w:rsidR="001A5663" w:rsidRPr="00404B9B" w:rsidRDefault="001A5663" w:rsidP="000324D7">
            <w:pPr>
              <w:ind w:firstLine="426"/>
            </w:pPr>
            <w:r w:rsidRPr="00404B9B">
              <w:t>Постоянная утрата трудоспособности (инвалидность) в результате несчастного случая или заболевания: при III-ей группе инвалидности - 60%, при II-ой группе инвалидности -80%,при I-ой группе -100%, от индивидуальной страховой суммы Застрахованного лица.</w:t>
            </w:r>
          </w:p>
          <w:p w:rsidR="001A5663" w:rsidRPr="00404B9B" w:rsidRDefault="001A5663" w:rsidP="000324D7">
            <w:pPr>
              <w:ind w:firstLine="426"/>
            </w:pPr>
            <w:r w:rsidRPr="00404B9B">
              <w:t>Смерть в результате несчастного случая или естественных причин: страховая выплата определяется исходя из 100% индивидуальной страховой суммы Застрахованного лица.</w:t>
            </w:r>
          </w:p>
          <w:p w:rsidR="008519A4" w:rsidRPr="00404B9B" w:rsidRDefault="008519A4" w:rsidP="008519A4">
            <w:pPr>
              <w:ind w:firstLine="426"/>
            </w:pPr>
            <w:r w:rsidRPr="00404B9B">
              <w:t>Утрата профессиональной трудоспособности в результате несчастного случая: размер страховой выплаты определяется в процентах от индивидуальной страховой суммы Застрахованного лица</w:t>
            </w:r>
            <w:proofErr w:type="gramStart"/>
            <w:r w:rsidRPr="00404B9B">
              <w:t>.</w:t>
            </w:r>
            <w:proofErr w:type="gramEnd"/>
            <w:r w:rsidRPr="00404B9B">
              <w:t xml:space="preserve"> </w:t>
            </w:r>
            <w:proofErr w:type="gramStart"/>
            <w:r w:rsidRPr="00404B9B">
              <w:t>в</w:t>
            </w:r>
            <w:proofErr w:type="gramEnd"/>
            <w:r w:rsidRPr="00404B9B">
              <w:t xml:space="preserve"> соответствии с процентом (степенью утраты), на который снизилась профессиональная трудоспособность Застрахованного лица.</w:t>
            </w:r>
          </w:p>
        </w:tc>
      </w:tr>
      <w:tr w:rsidR="001A5663" w:rsidRPr="000324D7" w:rsidTr="00D7534C">
        <w:tc>
          <w:tcPr>
            <w:tcW w:w="3521" w:type="dxa"/>
            <w:vAlign w:val="center"/>
          </w:tcPr>
          <w:p w:rsidR="001A5663" w:rsidRPr="00D7534C" w:rsidRDefault="00D7534C" w:rsidP="00D7534C">
            <w:pPr>
              <w:ind w:firstLine="0"/>
              <w:jc w:val="center"/>
              <w:rPr>
                <w:b/>
              </w:rPr>
            </w:pPr>
            <w:r w:rsidRPr="00D7534C">
              <w:rPr>
                <w:b/>
              </w:rPr>
              <w:t>7. Период страхования</w:t>
            </w:r>
          </w:p>
        </w:tc>
        <w:tc>
          <w:tcPr>
            <w:tcW w:w="7043" w:type="dxa"/>
            <w:gridSpan w:val="2"/>
            <w:vAlign w:val="center"/>
          </w:tcPr>
          <w:p w:rsidR="001A5663" w:rsidRPr="00404B9B" w:rsidRDefault="001A5663" w:rsidP="00D7534C">
            <w:pPr>
              <w:ind w:firstLine="23"/>
              <w:jc w:val="center"/>
              <w:rPr>
                <w:b/>
              </w:rPr>
            </w:pPr>
            <w:r w:rsidRPr="00404B9B">
              <w:rPr>
                <w:b/>
              </w:rPr>
              <w:t>с «04» июня 2021 г. по «03» июня 2022 г.</w:t>
            </w:r>
          </w:p>
        </w:tc>
      </w:tr>
    </w:tbl>
    <w:p w:rsidR="001E7A2A" w:rsidRPr="000324D7" w:rsidRDefault="001E7A2A" w:rsidP="000324D7">
      <w:pPr>
        <w:ind w:left="567" w:firstLine="0"/>
      </w:pPr>
    </w:p>
    <w:p w:rsidR="001E7A2A" w:rsidRPr="000324D7" w:rsidRDefault="001E7A2A" w:rsidP="000324D7">
      <w:pPr>
        <w:ind w:left="567" w:firstLine="0"/>
      </w:pPr>
    </w:p>
    <w:p w:rsidR="001E7A2A" w:rsidRPr="000324D7" w:rsidRDefault="001E7A2A" w:rsidP="000324D7">
      <w:pPr>
        <w:ind w:left="567" w:firstLine="0"/>
      </w:pPr>
    </w:p>
    <w:p w:rsidR="00652A1F" w:rsidRPr="000324D7" w:rsidRDefault="00652A1F" w:rsidP="000324D7">
      <w:pPr>
        <w:ind w:left="567" w:firstLine="0"/>
      </w:pPr>
    </w:p>
    <w:p w:rsidR="009D1B5A" w:rsidRPr="000324D7" w:rsidRDefault="009D1B5A" w:rsidP="000324D7">
      <w:pPr>
        <w:ind w:left="567" w:firstLine="0"/>
      </w:pPr>
      <w:bookmarkStart w:id="1" w:name="Par0"/>
      <w:bookmarkEnd w:id="1"/>
      <w:r w:rsidRPr="000324D7">
        <w:tab/>
      </w:r>
      <w:r w:rsidRPr="000324D7">
        <w:tab/>
        <w:t xml:space="preserve">              </w:t>
      </w:r>
    </w:p>
    <w:p w:rsidR="009D1B5A" w:rsidRPr="000324D7" w:rsidRDefault="009D1B5A" w:rsidP="000324D7">
      <w:pPr>
        <w:ind w:left="567" w:firstLine="0"/>
      </w:pPr>
    </w:p>
    <w:p w:rsidR="009D1B5A" w:rsidRPr="000324D7" w:rsidRDefault="009D1B5A" w:rsidP="000324D7">
      <w:pPr>
        <w:ind w:left="567" w:firstLine="0"/>
      </w:pPr>
    </w:p>
    <w:p w:rsidR="009D1B5A" w:rsidRPr="000324D7" w:rsidRDefault="009D1B5A" w:rsidP="000324D7">
      <w:pPr>
        <w:ind w:left="567" w:firstLine="0"/>
      </w:pPr>
    </w:p>
    <w:p w:rsidR="009D1B5A" w:rsidRPr="000324D7" w:rsidRDefault="009D1B5A" w:rsidP="000324D7">
      <w:pPr>
        <w:ind w:left="567" w:firstLine="0"/>
      </w:pPr>
    </w:p>
    <w:sectPr w:rsidR="009D1B5A" w:rsidRPr="000324D7" w:rsidSect="001E7A2A">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63" w:rsidRDefault="001A5663" w:rsidP="001A5663">
      <w:pPr>
        <w:spacing w:line="240" w:lineRule="auto"/>
      </w:pPr>
      <w:r>
        <w:separator/>
      </w:r>
    </w:p>
  </w:endnote>
  <w:endnote w:type="continuationSeparator" w:id="0">
    <w:p w:rsidR="001A5663" w:rsidRDefault="001A5663" w:rsidP="001A5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63" w:rsidRDefault="001A5663" w:rsidP="001A5663">
      <w:pPr>
        <w:spacing w:line="240" w:lineRule="auto"/>
      </w:pPr>
      <w:r>
        <w:separator/>
      </w:r>
    </w:p>
  </w:footnote>
  <w:footnote w:type="continuationSeparator" w:id="0">
    <w:p w:rsidR="001A5663" w:rsidRDefault="001A5663" w:rsidP="001A56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2CAF"/>
    <w:multiLevelType w:val="hybridMultilevel"/>
    <w:tmpl w:val="B5E6CA58"/>
    <w:lvl w:ilvl="0" w:tplc="756EA1CC">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2905BB3"/>
    <w:multiLevelType w:val="multilevel"/>
    <w:tmpl w:val="3438A83C"/>
    <w:lvl w:ilvl="0">
      <w:start w:val="1"/>
      <w:numFmt w:val="decimal"/>
      <w:pStyle w:val="1"/>
      <w:lvlText w:val="Раздел %1."/>
      <w:lvlJc w:val="left"/>
      <w:pPr>
        <w:tabs>
          <w:tab w:val="num" w:pos="957"/>
        </w:tabs>
        <w:ind w:left="957" w:hanging="567"/>
      </w:pPr>
      <w:rPr>
        <w:color w:val="auto"/>
      </w:rPr>
    </w:lvl>
    <w:lvl w:ilvl="1">
      <w:start w:val="1"/>
      <w:numFmt w:val="none"/>
      <w:lvlText w:val="7.1."/>
      <w:lvlJc w:val="left"/>
      <w:pPr>
        <w:tabs>
          <w:tab w:val="num" w:pos="1142"/>
        </w:tabs>
        <w:ind w:left="1142" w:hanging="432"/>
      </w:pPr>
      <w:rPr>
        <w:color w:val="auto"/>
        <w:sz w:val="28"/>
        <w:szCs w:val="28"/>
      </w:rPr>
    </w:lvl>
    <w:lvl w:ilvl="2">
      <w:start w:val="1"/>
      <w:numFmt w:val="decimal"/>
      <w:pStyle w:val="3"/>
      <w:lvlText w:val="%1.1%2.%3."/>
      <w:lvlJc w:val="left"/>
      <w:pPr>
        <w:tabs>
          <w:tab w:val="num" w:pos="1713"/>
        </w:tabs>
        <w:ind w:left="1497" w:hanging="504"/>
      </w:pPr>
      <w:rPr>
        <w:b/>
        <w:i w:val="0"/>
      </w:rPr>
    </w:lvl>
    <w:lvl w:ilvl="3">
      <w:start w:val="1"/>
      <w:numFmt w:val="decimal"/>
      <w:pStyle w:val="4"/>
      <w:lvlText w:val="%1.%21.%3.%4."/>
      <w:lvlJc w:val="left"/>
      <w:pPr>
        <w:tabs>
          <w:tab w:val="num" w:pos="1370"/>
        </w:tabs>
        <w:ind w:left="1298" w:hanging="648"/>
      </w:pPr>
      <w:rPr>
        <w:b/>
        <w:i w:val="0"/>
      </w:rPr>
    </w:lvl>
    <w:lvl w:ilvl="4">
      <w:start w:val="1"/>
      <w:numFmt w:val="decimal"/>
      <w:lvlText w:val="%1.%2.%3.%4.%5."/>
      <w:lvlJc w:val="left"/>
      <w:pPr>
        <w:tabs>
          <w:tab w:val="num" w:pos="2727"/>
        </w:tabs>
        <w:ind w:left="2439" w:hanging="792"/>
      </w:pPr>
    </w:lvl>
    <w:lvl w:ilvl="5">
      <w:start w:val="1"/>
      <w:numFmt w:val="decimal"/>
      <w:lvlText w:val="%1.%2.%3.%4.%5.%6."/>
      <w:lvlJc w:val="left"/>
      <w:pPr>
        <w:tabs>
          <w:tab w:val="num" w:pos="3087"/>
        </w:tabs>
        <w:ind w:left="2943" w:hanging="936"/>
      </w:pPr>
    </w:lvl>
    <w:lvl w:ilvl="6">
      <w:start w:val="1"/>
      <w:numFmt w:val="decimal"/>
      <w:lvlText w:val="%1.%2.%3.%4.%5.%6.%7."/>
      <w:lvlJc w:val="left"/>
      <w:pPr>
        <w:tabs>
          <w:tab w:val="num" w:pos="3807"/>
        </w:tabs>
        <w:ind w:left="3447" w:hanging="1080"/>
      </w:pPr>
    </w:lvl>
    <w:lvl w:ilvl="7">
      <w:start w:val="1"/>
      <w:numFmt w:val="decimal"/>
      <w:lvlText w:val="%1.%2.%3.%4.%5.%6.%7.%8."/>
      <w:lvlJc w:val="left"/>
      <w:pPr>
        <w:tabs>
          <w:tab w:val="num" w:pos="4167"/>
        </w:tabs>
        <w:ind w:left="3951" w:hanging="1224"/>
      </w:pPr>
    </w:lvl>
    <w:lvl w:ilvl="8">
      <w:start w:val="1"/>
      <w:numFmt w:val="decimal"/>
      <w:lvlText w:val="%1.%2.%3.%4.%5.%6.%7.%8.%9."/>
      <w:lvlJc w:val="left"/>
      <w:pPr>
        <w:tabs>
          <w:tab w:val="num" w:pos="4887"/>
        </w:tabs>
        <w:ind w:left="4527" w:hanging="1440"/>
      </w:pPr>
    </w:lvl>
  </w:abstractNum>
  <w:abstractNum w:abstractNumId="2">
    <w:nsid w:val="16AB5248"/>
    <w:multiLevelType w:val="hybridMultilevel"/>
    <w:tmpl w:val="02FCD15C"/>
    <w:lvl w:ilvl="0" w:tplc="9A648BC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2365164C"/>
    <w:multiLevelType w:val="multilevel"/>
    <w:tmpl w:val="52ECA37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29C64147"/>
    <w:multiLevelType w:val="hybridMultilevel"/>
    <w:tmpl w:val="5860F52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2F6F7C"/>
    <w:multiLevelType w:val="hybridMultilevel"/>
    <w:tmpl w:val="02FCD15C"/>
    <w:lvl w:ilvl="0" w:tplc="9A648BC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5774581B"/>
    <w:multiLevelType w:val="hybridMultilevel"/>
    <w:tmpl w:val="05E0D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2B23BD"/>
    <w:multiLevelType w:val="hybridMultilevel"/>
    <w:tmpl w:val="F398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FB723E"/>
    <w:multiLevelType w:val="multilevel"/>
    <w:tmpl w:val="FD58C140"/>
    <w:lvl w:ilvl="0">
      <w:start w:val="4"/>
      <w:numFmt w:val="decimal"/>
      <w:lvlText w:val="%1."/>
      <w:lvlJc w:val="left"/>
      <w:pPr>
        <w:tabs>
          <w:tab w:val="num" w:pos="360"/>
        </w:tabs>
        <w:ind w:left="360" w:hanging="360"/>
      </w:pPr>
    </w:lvl>
    <w:lvl w:ilvl="1">
      <w:start w:val="1"/>
      <w:numFmt w:val="decimal"/>
      <w:lvlText w:val="%1.%2."/>
      <w:lvlJc w:val="left"/>
      <w:pPr>
        <w:tabs>
          <w:tab w:val="num" w:pos="1288"/>
        </w:tabs>
        <w:ind w:left="1000"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704147B9"/>
    <w:multiLevelType w:val="multilevel"/>
    <w:tmpl w:val="6812017E"/>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79365FC4"/>
    <w:multiLevelType w:val="hybridMultilevel"/>
    <w:tmpl w:val="02FCD15C"/>
    <w:lvl w:ilvl="0" w:tplc="9A648BC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7"/>
  </w:num>
  <w:num w:numId="2">
    <w:abstractNumId w:val="6"/>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7B"/>
    <w:rsid w:val="000324D7"/>
    <w:rsid w:val="00075C22"/>
    <w:rsid w:val="000A02F8"/>
    <w:rsid w:val="000E102D"/>
    <w:rsid w:val="000E6CCB"/>
    <w:rsid w:val="000F1D81"/>
    <w:rsid w:val="00134674"/>
    <w:rsid w:val="001964CE"/>
    <w:rsid w:val="001A5663"/>
    <w:rsid w:val="001E7A2A"/>
    <w:rsid w:val="002308FD"/>
    <w:rsid w:val="002A5B85"/>
    <w:rsid w:val="002B696A"/>
    <w:rsid w:val="002B6FE7"/>
    <w:rsid w:val="002F2FEF"/>
    <w:rsid w:val="00301385"/>
    <w:rsid w:val="003665EE"/>
    <w:rsid w:val="003C5C61"/>
    <w:rsid w:val="00404B9B"/>
    <w:rsid w:val="004140CC"/>
    <w:rsid w:val="00444A87"/>
    <w:rsid w:val="00496E1F"/>
    <w:rsid w:val="004D71C0"/>
    <w:rsid w:val="00567423"/>
    <w:rsid w:val="00573184"/>
    <w:rsid w:val="005B397D"/>
    <w:rsid w:val="005B3C4F"/>
    <w:rsid w:val="005D1164"/>
    <w:rsid w:val="00652A1F"/>
    <w:rsid w:val="00654E37"/>
    <w:rsid w:val="006762FF"/>
    <w:rsid w:val="00682F43"/>
    <w:rsid w:val="007000E2"/>
    <w:rsid w:val="007556C1"/>
    <w:rsid w:val="007677F1"/>
    <w:rsid w:val="007815BB"/>
    <w:rsid w:val="007E0C4C"/>
    <w:rsid w:val="007E49A9"/>
    <w:rsid w:val="00814555"/>
    <w:rsid w:val="008169D3"/>
    <w:rsid w:val="00824B66"/>
    <w:rsid w:val="008519A4"/>
    <w:rsid w:val="008543F2"/>
    <w:rsid w:val="008A5AA5"/>
    <w:rsid w:val="008E467B"/>
    <w:rsid w:val="008E779D"/>
    <w:rsid w:val="0099631B"/>
    <w:rsid w:val="009C21C1"/>
    <w:rsid w:val="009D1B5A"/>
    <w:rsid w:val="00A81480"/>
    <w:rsid w:val="00A81528"/>
    <w:rsid w:val="00A847ED"/>
    <w:rsid w:val="00A97C7B"/>
    <w:rsid w:val="00AE745D"/>
    <w:rsid w:val="00AF763F"/>
    <w:rsid w:val="00B2464D"/>
    <w:rsid w:val="00BB1989"/>
    <w:rsid w:val="00C15D7F"/>
    <w:rsid w:val="00C85EC2"/>
    <w:rsid w:val="00CA3137"/>
    <w:rsid w:val="00CB2DC4"/>
    <w:rsid w:val="00CC0569"/>
    <w:rsid w:val="00CC08E9"/>
    <w:rsid w:val="00CF66BF"/>
    <w:rsid w:val="00D27A48"/>
    <w:rsid w:val="00D553A0"/>
    <w:rsid w:val="00D553A1"/>
    <w:rsid w:val="00D7534C"/>
    <w:rsid w:val="00DC01D3"/>
    <w:rsid w:val="00DE3E78"/>
    <w:rsid w:val="00E33E97"/>
    <w:rsid w:val="00E37030"/>
    <w:rsid w:val="00E675DD"/>
    <w:rsid w:val="00F3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7B"/>
    <w:pPr>
      <w:suppressAutoHyphens/>
      <w:spacing w:after="0" w:line="360" w:lineRule="auto"/>
      <w:ind w:firstLine="567"/>
      <w:jc w:val="both"/>
    </w:pPr>
    <w:rPr>
      <w:rFonts w:ascii="Times New Roman" w:eastAsia="Times New Roman" w:hAnsi="Times New Roman" w:cs="Times New Roman"/>
      <w:bCs/>
      <w:lang w:eastAsia="ar-SA"/>
    </w:rPr>
  </w:style>
  <w:style w:type="paragraph" w:styleId="1">
    <w:name w:val="heading 1"/>
    <w:basedOn w:val="a"/>
    <w:next w:val="a"/>
    <w:link w:val="10"/>
    <w:qFormat/>
    <w:rsid w:val="00652A1F"/>
    <w:pPr>
      <w:numPr>
        <w:numId w:val="8"/>
      </w:numPr>
      <w:suppressAutoHyphens w:val="0"/>
      <w:spacing w:line="240" w:lineRule="auto"/>
      <w:jc w:val="left"/>
      <w:outlineLvl w:val="0"/>
    </w:pPr>
    <w:rPr>
      <w:rFonts w:ascii="Times New Roman CYR" w:hAnsi="Times New Roman CYR" w:cs="Times New Roman CYR"/>
      <w:b/>
      <w:sz w:val="28"/>
      <w:szCs w:val="28"/>
      <w:lang w:eastAsia="ru-RU"/>
    </w:rPr>
  </w:style>
  <w:style w:type="paragraph" w:styleId="2">
    <w:name w:val="heading 2"/>
    <w:basedOn w:val="a"/>
    <w:next w:val="a"/>
    <w:link w:val="20"/>
    <w:uiPriority w:val="9"/>
    <w:semiHidden/>
    <w:unhideWhenUsed/>
    <w:qFormat/>
    <w:rsid w:val="00652A1F"/>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semiHidden/>
    <w:unhideWhenUsed/>
    <w:qFormat/>
    <w:rsid w:val="00652A1F"/>
    <w:pPr>
      <w:keepNext/>
      <w:numPr>
        <w:ilvl w:val="2"/>
        <w:numId w:val="8"/>
      </w:numPr>
      <w:suppressAutoHyphens w:val="0"/>
      <w:spacing w:line="240" w:lineRule="auto"/>
      <w:jc w:val="left"/>
      <w:outlineLvl w:val="2"/>
    </w:pPr>
    <w:rPr>
      <w:b/>
      <w:color w:val="000000"/>
      <w:sz w:val="24"/>
      <w:szCs w:val="24"/>
      <w:lang w:eastAsia="ru-RU"/>
    </w:rPr>
  </w:style>
  <w:style w:type="paragraph" w:styleId="4">
    <w:name w:val="heading 4"/>
    <w:basedOn w:val="a"/>
    <w:next w:val="a"/>
    <w:link w:val="40"/>
    <w:semiHidden/>
    <w:unhideWhenUsed/>
    <w:qFormat/>
    <w:rsid w:val="00652A1F"/>
    <w:pPr>
      <w:keepNext/>
      <w:numPr>
        <w:ilvl w:val="3"/>
        <w:numId w:val="8"/>
      </w:numPr>
      <w:tabs>
        <w:tab w:val="left" w:pos="993"/>
      </w:tabs>
      <w:suppressAutoHyphens w:val="0"/>
      <w:spacing w:line="240" w:lineRule="auto"/>
      <w:ind w:right="-1"/>
      <w:outlineLvl w:val="3"/>
    </w:pPr>
    <w:rPr>
      <w:b/>
      <w:bCs w:val="0"/>
      <w:spacing w:val="-1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9D"/>
    <w:pPr>
      <w:ind w:left="720"/>
      <w:contextualSpacing/>
    </w:pPr>
  </w:style>
  <w:style w:type="paragraph" w:styleId="a4">
    <w:name w:val="List Number"/>
    <w:basedOn w:val="a"/>
    <w:uiPriority w:val="99"/>
    <w:rsid w:val="00C85EC2"/>
    <w:pPr>
      <w:suppressAutoHyphens w:val="0"/>
      <w:autoSpaceDE w:val="0"/>
      <w:autoSpaceDN w:val="0"/>
      <w:spacing w:before="60"/>
      <w:ind w:firstLine="0"/>
    </w:pPr>
    <w:rPr>
      <w:bCs w:val="0"/>
      <w:sz w:val="28"/>
      <w:szCs w:val="28"/>
      <w:lang w:eastAsia="ru-RU"/>
    </w:rPr>
  </w:style>
  <w:style w:type="paragraph" w:customStyle="1" w:styleId="a5">
    <w:name w:val="Пункт"/>
    <w:basedOn w:val="a"/>
    <w:link w:val="a6"/>
    <w:rsid w:val="009D1B5A"/>
    <w:pPr>
      <w:suppressAutoHyphens w:val="0"/>
      <w:spacing w:line="240" w:lineRule="auto"/>
      <w:ind w:left="1422" w:hanging="720"/>
    </w:pPr>
    <w:rPr>
      <w:bCs w:val="0"/>
      <w:sz w:val="28"/>
      <w:szCs w:val="24"/>
      <w:lang w:val="x-none" w:eastAsia="ru-RU"/>
    </w:rPr>
  </w:style>
  <w:style w:type="character" w:customStyle="1" w:styleId="a6">
    <w:name w:val="Пункт Знак"/>
    <w:link w:val="a5"/>
    <w:rsid w:val="009D1B5A"/>
    <w:rPr>
      <w:rFonts w:ascii="Times New Roman" w:eastAsia="Times New Roman" w:hAnsi="Times New Roman" w:cs="Times New Roman"/>
      <w:sz w:val="28"/>
      <w:szCs w:val="24"/>
      <w:lang w:val="x-none" w:eastAsia="ru-RU"/>
    </w:rPr>
  </w:style>
  <w:style w:type="paragraph" w:customStyle="1" w:styleId="ConsPlusTitle">
    <w:name w:val="ConsPlusTitle"/>
    <w:uiPriority w:val="99"/>
    <w:rsid w:val="009D1B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D1B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semiHidden/>
    <w:unhideWhenUsed/>
    <w:rsid w:val="009D1B5A"/>
    <w:pPr>
      <w:suppressAutoHyphens w:val="0"/>
      <w:spacing w:after="120" w:line="240" w:lineRule="auto"/>
    </w:pPr>
    <w:rPr>
      <w:bCs w:val="0"/>
      <w:sz w:val="28"/>
      <w:szCs w:val="24"/>
      <w:lang w:eastAsia="ru-RU"/>
    </w:rPr>
  </w:style>
  <w:style w:type="character" w:customStyle="1" w:styleId="a8">
    <w:name w:val="Основной текст Знак"/>
    <w:basedOn w:val="a0"/>
    <w:link w:val="a7"/>
    <w:uiPriority w:val="99"/>
    <w:semiHidden/>
    <w:rsid w:val="009D1B5A"/>
    <w:rPr>
      <w:rFonts w:ascii="Times New Roman" w:eastAsia="Times New Roman" w:hAnsi="Times New Roman" w:cs="Times New Roman"/>
      <w:sz w:val="28"/>
      <w:szCs w:val="24"/>
      <w:lang w:eastAsia="ru-RU"/>
    </w:rPr>
  </w:style>
  <w:style w:type="paragraph" w:customStyle="1" w:styleId="21">
    <w:name w:val="Основной текст 21"/>
    <w:basedOn w:val="a"/>
    <w:semiHidden/>
    <w:rsid w:val="009D1B5A"/>
    <w:pPr>
      <w:suppressAutoHyphens w:val="0"/>
      <w:spacing w:line="240" w:lineRule="auto"/>
      <w:ind w:firstLine="709"/>
    </w:pPr>
    <w:rPr>
      <w:bCs w:val="0"/>
      <w:sz w:val="20"/>
      <w:szCs w:val="20"/>
      <w:lang w:eastAsia="ru-RU"/>
    </w:rPr>
  </w:style>
  <w:style w:type="character" w:customStyle="1" w:styleId="10">
    <w:name w:val="Заголовок 1 Знак"/>
    <w:basedOn w:val="a0"/>
    <w:link w:val="1"/>
    <w:rsid w:val="00652A1F"/>
    <w:rPr>
      <w:rFonts w:ascii="Times New Roman CYR" w:eastAsia="Times New Roman" w:hAnsi="Times New Roman CYR" w:cs="Times New Roman CYR"/>
      <w:b/>
      <w:bCs/>
      <w:sz w:val="28"/>
      <w:szCs w:val="28"/>
      <w:lang w:eastAsia="ru-RU"/>
    </w:rPr>
  </w:style>
  <w:style w:type="character" w:customStyle="1" w:styleId="30">
    <w:name w:val="Заголовок 3 Знак"/>
    <w:basedOn w:val="a0"/>
    <w:link w:val="3"/>
    <w:semiHidden/>
    <w:rsid w:val="00652A1F"/>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0"/>
    <w:link w:val="4"/>
    <w:semiHidden/>
    <w:rsid w:val="00652A1F"/>
    <w:rPr>
      <w:rFonts w:ascii="Times New Roman" w:eastAsia="Times New Roman" w:hAnsi="Times New Roman" w:cs="Times New Roman"/>
      <w:b/>
      <w:spacing w:val="-10"/>
      <w:sz w:val="24"/>
      <w:szCs w:val="24"/>
      <w:lang w:eastAsia="ru-RU"/>
    </w:rPr>
  </w:style>
  <w:style w:type="paragraph" w:customStyle="1" w:styleId="22">
    <w:name w:val="Заголовок 2 жирный"/>
    <w:basedOn w:val="2"/>
    <w:rsid w:val="00652A1F"/>
    <w:pPr>
      <w:keepNext w:val="0"/>
      <w:keepLines w:val="0"/>
      <w:tabs>
        <w:tab w:val="num" w:pos="1142"/>
      </w:tabs>
      <w:suppressAutoHyphens w:val="0"/>
      <w:spacing w:before="0" w:line="240" w:lineRule="auto"/>
      <w:ind w:left="1142" w:hanging="432"/>
    </w:pPr>
    <w:rPr>
      <w:rFonts w:ascii="Times New Roman" w:eastAsia="Times New Roman" w:hAnsi="Times New Roman" w:cs="Times New Roman"/>
      <w:bCs/>
      <w:color w:val="auto"/>
      <w:sz w:val="28"/>
      <w:szCs w:val="28"/>
      <w:lang w:eastAsia="ru-RU"/>
    </w:rPr>
  </w:style>
  <w:style w:type="paragraph" w:customStyle="1" w:styleId="-">
    <w:name w:val="Контракт-пункт"/>
    <w:basedOn w:val="a5"/>
    <w:rsid w:val="00652A1F"/>
    <w:pPr>
      <w:tabs>
        <w:tab w:val="num" w:pos="926"/>
      </w:tabs>
      <w:ind w:left="926" w:hanging="360"/>
    </w:pPr>
    <w:rPr>
      <w:rFonts w:asciiTheme="minorHAnsi" w:eastAsiaTheme="minorHAnsi" w:hAnsiTheme="minorHAnsi" w:cstheme="minorBidi"/>
      <w:lang w:val="ru-RU" w:eastAsia="en-US"/>
    </w:rPr>
  </w:style>
  <w:style w:type="character" w:customStyle="1" w:styleId="20">
    <w:name w:val="Заголовок 2 Знак"/>
    <w:basedOn w:val="a0"/>
    <w:link w:val="2"/>
    <w:uiPriority w:val="9"/>
    <w:semiHidden/>
    <w:rsid w:val="00652A1F"/>
    <w:rPr>
      <w:rFonts w:asciiTheme="majorHAnsi" w:eastAsiaTheme="majorEastAsia" w:hAnsiTheme="majorHAnsi" w:cstheme="majorBidi"/>
      <w:b/>
      <w:color w:val="4F81BD" w:themeColor="accent1"/>
      <w:sz w:val="26"/>
      <w:szCs w:val="26"/>
      <w:lang w:eastAsia="ar-SA"/>
    </w:rPr>
  </w:style>
  <w:style w:type="table" w:styleId="a9">
    <w:name w:val="Table Grid"/>
    <w:basedOn w:val="a1"/>
    <w:uiPriority w:val="59"/>
    <w:rsid w:val="0065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A5663"/>
    <w:pPr>
      <w:tabs>
        <w:tab w:val="center" w:pos="4677"/>
        <w:tab w:val="right" w:pos="9355"/>
      </w:tabs>
      <w:spacing w:line="240" w:lineRule="auto"/>
    </w:pPr>
  </w:style>
  <w:style w:type="character" w:customStyle="1" w:styleId="ab">
    <w:name w:val="Верхний колонтитул Знак"/>
    <w:basedOn w:val="a0"/>
    <w:link w:val="aa"/>
    <w:uiPriority w:val="99"/>
    <w:rsid w:val="001A5663"/>
    <w:rPr>
      <w:rFonts w:ascii="Times New Roman" w:eastAsia="Times New Roman" w:hAnsi="Times New Roman" w:cs="Times New Roman"/>
      <w:bCs/>
      <w:lang w:eastAsia="ar-SA"/>
    </w:rPr>
  </w:style>
  <w:style w:type="paragraph" w:styleId="ac">
    <w:name w:val="footer"/>
    <w:basedOn w:val="a"/>
    <w:link w:val="ad"/>
    <w:uiPriority w:val="99"/>
    <w:unhideWhenUsed/>
    <w:rsid w:val="001A5663"/>
    <w:pPr>
      <w:tabs>
        <w:tab w:val="center" w:pos="4677"/>
        <w:tab w:val="right" w:pos="9355"/>
      </w:tabs>
      <w:spacing w:line="240" w:lineRule="auto"/>
    </w:pPr>
  </w:style>
  <w:style w:type="character" w:customStyle="1" w:styleId="ad">
    <w:name w:val="Нижний колонтитул Знак"/>
    <w:basedOn w:val="a0"/>
    <w:link w:val="ac"/>
    <w:uiPriority w:val="99"/>
    <w:rsid w:val="001A5663"/>
    <w:rPr>
      <w:rFonts w:ascii="Times New Roman" w:eastAsia="Times New Roman" w:hAnsi="Times New Roman" w:cs="Times New Roman"/>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7B"/>
    <w:pPr>
      <w:suppressAutoHyphens/>
      <w:spacing w:after="0" w:line="360" w:lineRule="auto"/>
      <w:ind w:firstLine="567"/>
      <w:jc w:val="both"/>
    </w:pPr>
    <w:rPr>
      <w:rFonts w:ascii="Times New Roman" w:eastAsia="Times New Roman" w:hAnsi="Times New Roman" w:cs="Times New Roman"/>
      <w:bCs/>
      <w:lang w:eastAsia="ar-SA"/>
    </w:rPr>
  </w:style>
  <w:style w:type="paragraph" w:styleId="1">
    <w:name w:val="heading 1"/>
    <w:basedOn w:val="a"/>
    <w:next w:val="a"/>
    <w:link w:val="10"/>
    <w:qFormat/>
    <w:rsid w:val="00652A1F"/>
    <w:pPr>
      <w:numPr>
        <w:numId w:val="8"/>
      </w:numPr>
      <w:suppressAutoHyphens w:val="0"/>
      <w:spacing w:line="240" w:lineRule="auto"/>
      <w:jc w:val="left"/>
      <w:outlineLvl w:val="0"/>
    </w:pPr>
    <w:rPr>
      <w:rFonts w:ascii="Times New Roman CYR" w:hAnsi="Times New Roman CYR" w:cs="Times New Roman CYR"/>
      <w:b/>
      <w:sz w:val="28"/>
      <w:szCs w:val="28"/>
      <w:lang w:eastAsia="ru-RU"/>
    </w:rPr>
  </w:style>
  <w:style w:type="paragraph" w:styleId="2">
    <w:name w:val="heading 2"/>
    <w:basedOn w:val="a"/>
    <w:next w:val="a"/>
    <w:link w:val="20"/>
    <w:uiPriority w:val="9"/>
    <w:semiHidden/>
    <w:unhideWhenUsed/>
    <w:qFormat/>
    <w:rsid w:val="00652A1F"/>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semiHidden/>
    <w:unhideWhenUsed/>
    <w:qFormat/>
    <w:rsid w:val="00652A1F"/>
    <w:pPr>
      <w:keepNext/>
      <w:numPr>
        <w:ilvl w:val="2"/>
        <w:numId w:val="8"/>
      </w:numPr>
      <w:suppressAutoHyphens w:val="0"/>
      <w:spacing w:line="240" w:lineRule="auto"/>
      <w:jc w:val="left"/>
      <w:outlineLvl w:val="2"/>
    </w:pPr>
    <w:rPr>
      <w:b/>
      <w:color w:val="000000"/>
      <w:sz w:val="24"/>
      <w:szCs w:val="24"/>
      <w:lang w:eastAsia="ru-RU"/>
    </w:rPr>
  </w:style>
  <w:style w:type="paragraph" w:styleId="4">
    <w:name w:val="heading 4"/>
    <w:basedOn w:val="a"/>
    <w:next w:val="a"/>
    <w:link w:val="40"/>
    <w:semiHidden/>
    <w:unhideWhenUsed/>
    <w:qFormat/>
    <w:rsid w:val="00652A1F"/>
    <w:pPr>
      <w:keepNext/>
      <w:numPr>
        <w:ilvl w:val="3"/>
        <w:numId w:val="8"/>
      </w:numPr>
      <w:tabs>
        <w:tab w:val="left" w:pos="993"/>
      </w:tabs>
      <w:suppressAutoHyphens w:val="0"/>
      <w:spacing w:line="240" w:lineRule="auto"/>
      <w:ind w:right="-1"/>
      <w:outlineLvl w:val="3"/>
    </w:pPr>
    <w:rPr>
      <w:b/>
      <w:bCs w:val="0"/>
      <w:spacing w:val="-1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9D"/>
    <w:pPr>
      <w:ind w:left="720"/>
      <w:contextualSpacing/>
    </w:pPr>
  </w:style>
  <w:style w:type="paragraph" w:styleId="a4">
    <w:name w:val="List Number"/>
    <w:basedOn w:val="a"/>
    <w:uiPriority w:val="99"/>
    <w:rsid w:val="00C85EC2"/>
    <w:pPr>
      <w:suppressAutoHyphens w:val="0"/>
      <w:autoSpaceDE w:val="0"/>
      <w:autoSpaceDN w:val="0"/>
      <w:spacing w:before="60"/>
      <w:ind w:firstLine="0"/>
    </w:pPr>
    <w:rPr>
      <w:bCs w:val="0"/>
      <w:sz w:val="28"/>
      <w:szCs w:val="28"/>
      <w:lang w:eastAsia="ru-RU"/>
    </w:rPr>
  </w:style>
  <w:style w:type="paragraph" w:customStyle="1" w:styleId="a5">
    <w:name w:val="Пункт"/>
    <w:basedOn w:val="a"/>
    <w:link w:val="a6"/>
    <w:rsid w:val="009D1B5A"/>
    <w:pPr>
      <w:suppressAutoHyphens w:val="0"/>
      <w:spacing w:line="240" w:lineRule="auto"/>
      <w:ind w:left="1422" w:hanging="720"/>
    </w:pPr>
    <w:rPr>
      <w:bCs w:val="0"/>
      <w:sz w:val="28"/>
      <w:szCs w:val="24"/>
      <w:lang w:val="x-none" w:eastAsia="ru-RU"/>
    </w:rPr>
  </w:style>
  <w:style w:type="character" w:customStyle="1" w:styleId="a6">
    <w:name w:val="Пункт Знак"/>
    <w:link w:val="a5"/>
    <w:rsid w:val="009D1B5A"/>
    <w:rPr>
      <w:rFonts w:ascii="Times New Roman" w:eastAsia="Times New Roman" w:hAnsi="Times New Roman" w:cs="Times New Roman"/>
      <w:sz w:val="28"/>
      <w:szCs w:val="24"/>
      <w:lang w:val="x-none" w:eastAsia="ru-RU"/>
    </w:rPr>
  </w:style>
  <w:style w:type="paragraph" w:customStyle="1" w:styleId="ConsPlusTitle">
    <w:name w:val="ConsPlusTitle"/>
    <w:uiPriority w:val="99"/>
    <w:rsid w:val="009D1B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D1B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semiHidden/>
    <w:unhideWhenUsed/>
    <w:rsid w:val="009D1B5A"/>
    <w:pPr>
      <w:suppressAutoHyphens w:val="0"/>
      <w:spacing w:after="120" w:line="240" w:lineRule="auto"/>
    </w:pPr>
    <w:rPr>
      <w:bCs w:val="0"/>
      <w:sz w:val="28"/>
      <w:szCs w:val="24"/>
      <w:lang w:eastAsia="ru-RU"/>
    </w:rPr>
  </w:style>
  <w:style w:type="character" w:customStyle="1" w:styleId="a8">
    <w:name w:val="Основной текст Знак"/>
    <w:basedOn w:val="a0"/>
    <w:link w:val="a7"/>
    <w:uiPriority w:val="99"/>
    <w:semiHidden/>
    <w:rsid w:val="009D1B5A"/>
    <w:rPr>
      <w:rFonts w:ascii="Times New Roman" w:eastAsia="Times New Roman" w:hAnsi="Times New Roman" w:cs="Times New Roman"/>
      <w:sz w:val="28"/>
      <w:szCs w:val="24"/>
      <w:lang w:eastAsia="ru-RU"/>
    </w:rPr>
  </w:style>
  <w:style w:type="paragraph" w:customStyle="1" w:styleId="21">
    <w:name w:val="Основной текст 21"/>
    <w:basedOn w:val="a"/>
    <w:semiHidden/>
    <w:rsid w:val="009D1B5A"/>
    <w:pPr>
      <w:suppressAutoHyphens w:val="0"/>
      <w:spacing w:line="240" w:lineRule="auto"/>
      <w:ind w:firstLine="709"/>
    </w:pPr>
    <w:rPr>
      <w:bCs w:val="0"/>
      <w:sz w:val="20"/>
      <w:szCs w:val="20"/>
      <w:lang w:eastAsia="ru-RU"/>
    </w:rPr>
  </w:style>
  <w:style w:type="character" w:customStyle="1" w:styleId="10">
    <w:name w:val="Заголовок 1 Знак"/>
    <w:basedOn w:val="a0"/>
    <w:link w:val="1"/>
    <w:rsid w:val="00652A1F"/>
    <w:rPr>
      <w:rFonts w:ascii="Times New Roman CYR" w:eastAsia="Times New Roman" w:hAnsi="Times New Roman CYR" w:cs="Times New Roman CYR"/>
      <w:b/>
      <w:bCs/>
      <w:sz w:val="28"/>
      <w:szCs w:val="28"/>
      <w:lang w:eastAsia="ru-RU"/>
    </w:rPr>
  </w:style>
  <w:style w:type="character" w:customStyle="1" w:styleId="30">
    <w:name w:val="Заголовок 3 Знак"/>
    <w:basedOn w:val="a0"/>
    <w:link w:val="3"/>
    <w:semiHidden/>
    <w:rsid w:val="00652A1F"/>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0"/>
    <w:link w:val="4"/>
    <w:semiHidden/>
    <w:rsid w:val="00652A1F"/>
    <w:rPr>
      <w:rFonts w:ascii="Times New Roman" w:eastAsia="Times New Roman" w:hAnsi="Times New Roman" w:cs="Times New Roman"/>
      <w:b/>
      <w:spacing w:val="-10"/>
      <w:sz w:val="24"/>
      <w:szCs w:val="24"/>
      <w:lang w:eastAsia="ru-RU"/>
    </w:rPr>
  </w:style>
  <w:style w:type="paragraph" w:customStyle="1" w:styleId="22">
    <w:name w:val="Заголовок 2 жирный"/>
    <w:basedOn w:val="2"/>
    <w:rsid w:val="00652A1F"/>
    <w:pPr>
      <w:keepNext w:val="0"/>
      <w:keepLines w:val="0"/>
      <w:tabs>
        <w:tab w:val="num" w:pos="1142"/>
      </w:tabs>
      <w:suppressAutoHyphens w:val="0"/>
      <w:spacing w:before="0" w:line="240" w:lineRule="auto"/>
      <w:ind w:left="1142" w:hanging="432"/>
    </w:pPr>
    <w:rPr>
      <w:rFonts w:ascii="Times New Roman" w:eastAsia="Times New Roman" w:hAnsi="Times New Roman" w:cs="Times New Roman"/>
      <w:bCs/>
      <w:color w:val="auto"/>
      <w:sz w:val="28"/>
      <w:szCs w:val="28"/>
      <w:lang w:eastAsia="ru-RU"/>
    </w:rPr>
  </w:style>
  <w:style w:type="paragraph" w:customStyle="1" w:styleId="-">
    <w:name w:val="Контракт-пункт"/>
    <w:basedOn w:val="a5"/>
    <w:rsid w:val="00652A1F"/>
    <w:pPr>
      <w:tabs>
        <w:tab w:val="num" w:pos="926"/>
      </w:tabs>
      <w:ind w:left="926" w:hanging="360"/>
    </w:pPr>
    <w:rPr>
      <w:rFonts w:asciiTheme="minorHAnsi" w:eastAsiaTheme="minorHAnsi" w:hAnsiTheme="minorHAnsi" w:cstheme="minorBidi"/>
      <w:lang w:val="ru-RU" w:eastAsia="en-US"/>
    </w:rPr>
  </w:style>
  <w:style w:type="character" w:customStyle="1" w:styleId="20">
    <w:name w:val="Заголовок 2 Знак"/>
    <w:basedOn w:val="a0"/>
    <w:link w:val="2"/>
    <w:uiPriority w:val="9"/>
    <w:semiHidden/>
    <w:rsid w:val="00652A1F"/>
    <w:rPr>
      <w:rFonts w:asciiTheme="majorHAnsi" w:eastAsiaTheme="majorEastAsia" w:hAnsiTheme="majorHAnsi" w:cstheme="majorBidi"/>
      <w:b/>
      <w:color w:val="4F81BD" w:themeColor="accent1"/>
      <w:sz w:val="26"/>
      <w:szCs w:val="26"/>
      <w:lang w:eastAsia="ar-SA"/>
    </w:rPr>
  </w:style>
  <w:style w:type="table" w:styleId="a9">
    <w:name w:val="Table Grid"/>
    <w:basedOn w:val="a1"/>
    <w:uiPriority w:val="59"/>
    <w:rsid w:val="0065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A5663"/>
    <w:pPr>
      <w:tabs>
        <w:tab w:val="center" w:pos="4677"/>
        <w:tab w:val="right" w:pos="9355"/>
      </w:tabs>
      <w:spacing w:line="240" w:lineRule="auto"/>
    </w:pPr>
  </w:style>
  <w:style w:type="character" w:customStyle="1" w:styleId="ab">
    <w:name w:val="Верхний колонтитул Знак"/>
    <w:basedOn w:val="a0"/>
    <w:link w:val="aa"/>
    <w:uiPriority w:val="99"/>
    <w:rsid w:val="001A5663"/>
    <w:rPr>
      <w:rFonts w:ascii="Times New Roman" w:eastAsia="Times New Roman" w:hAnsi="Times New Roman" w:cs="Times New Roman"/>
      <w:bCs/>
      <w:lang w:eastAsia="ar-SA"/>
    </w:rPr>
  </w:style>
  <w:style w:type="paragraph" w:styleId="ac">
    <w:name w:val="footer"/>
    <w:basedOn w:val="a"/>
    <w:link w:val="ad"/>
    <w:uiPriority w:val="99"/>
    <w:unhideWhenUsed/>
    <w:rsid w:val="001A5663"/>
    <w:pPr>
      <w:tabs>
        <w:tab w:val="center" w:pos="4677"/>
        <w:tab w:val="right" w:pos="9355"/>
      </w:tabs>
      <w:spacing w:line="240" w:lineRule="auto"/>
    </w:pPr>
  </w:style>
  <w:style w:type="character" w:customStyle="1" w:styleId="ad">
    <w:name w:val="Нижний колонтитул Знак"/>
    <w:basedOn w:val="a0"/>
    <w:link w:val="ac"/>
    <w:uiPriority w:val="99"/>
    <w:rsid w:val="001A5663"/>
    <w:rPr>
      <w:rFonts w:ascii="Times New Roman" w:eastAsia="Times New Roman" w:hAnsi="Times New Roman" w:cs="Times New Roman"/>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B01A-DE55-454F-B2D9-12346571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op.nikolaeva</dc:creator>
  <cp:lastModifiedBy>op.nikolaeva</cp:lastModifiedBy>
  <cp:revision>12</cp:revision>
  <dcterms:created xsi:type="dcterms:W3CDTF">2021-04-07T15:14:00Z</dcterms:created>
  <dcterms:modified xsi:type="dcterms:W3CDTF">2021-04-20T12:42:00Z</dcterms:modified>
</cp:coreProperties>
</file>